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F300B" w14:textId="750F7905" w:rsidR="00525490" w:rsidRPr="00525490" w:rsidRDefault="00525490" w:rsidP="00720711">
      <w:pPr>
        <w:widowControl w:val="0"/>
        <w:spacing w:after="240"/>
        <w:jc w:val="both"/>
        <w:outlineLvl w:val="1"/>
        <w:rPr>
          <w:rFonts w:cs="Arial"/>
          <w:b/>
          <w:sz w:val="28"/>
          <w:szCs w:val="28"/>
        </w:rPr>
      </w:pPr>
      <w:bookmarkStart w:id="0" w:name="_GoBack"/>
      <w:bookmarkEnd w:id="0"/>
      <w:r>
        <w:rPr>
          <w:rFonts w:cs="Arial"/>
          <w:sz w:val="24"/>
        </w:rPr>
        <w:t>Eastern Suffolk BOCES</w:t>
      </w:r>
      <w:r w:rsidRPr="00525490">
        <w:rPr>
          <w:rFonts w:cs="Arial"/>
          <w:sz w:val="24"/>
        </w:rPr>
        <w:t xml:space="preserve"> is an equal opportunity employer. In accordance with applicable law, we prohibit discrimination by or against any individuals involved in our operations, including employees regardless of their position, applicants, interns</w:t>
      </w:r>
      <w:r w:rsidR="006A2782">
        <w:rPr>
          <w:rFonts w:cs="Arial"/>
          <w:sz w:val="24"/>
        </w:rPr>
        <w:t xml:space="preserve"> and student teachers</w:t>
      </w:r>
      <w:r w:rsidRPr="00525490">
        <w:rPr>
          <w:rFonts w:cs="Arial"/>
          <w:sz w:val="24"/>
        </w:rPr>
        <w:t>, vendors, contractors, sub-contractors, consultants and any other third party involved in our operations based on any legally-recognized basis, including, but not limited to: race, color, religion, creed, sex</w:t>
      </w:r>
      <w:r w:rsidR="005B59EE">
        <w:rPr>
          <w:rFonts w:cs="Arial"/>
          <w:sz w:val="24"/>
        </w:rPr>
        <w:t>,</w:t>
      </w:r>
      <w:r w:rsidRPr="00525490">
        <w:rPr>
          <w:rFonts w:cs="Arial"/>
          <w:sz w:val="24"/>
        </w:rPr>
        <w:t xml:space="preserve"> pregnancy</w:t>
      </w:r>
      <w:r w:rsidR="005C3EF7">
        <w:rPr>
          <w:rFonts w:cs="Arial"/>
          <w:sz w:val="24"/>
        </w:rPr>
        <w:t xml:space="preserve"> </w:t>
      </w:r>
      <w:r w:rsidRPr="00525490">
        <w:rPr>
          <w:rFonts w:cs="Arial"/>
          <w:sz w:val="24"/>
        </w:rPr>
        <w:t>or related medical conditions, sexual orientation, marital, familial or partnership status, gender expression or identity,</w:t>
      </w:r>
      <w:r w:rsidR="002E18E3">
        <w:rPr>
          <w:rFonts w:cs="Arial"/>
          <w:sz w:val="24"/>
        </w:rPr>
        <w:t xml:space="preserve"> transgender status,</w:t>
      </w:r>
      <w:r w:rsidRPr="00525490">
        <w:rPr>
          <w:rFonts w:cs="Arial"/>
          <w:sz w:val="24"/>
        </w:rPr>
        <w:t xml:space="preserve"> age, national origin or ancestry, citizenship, physical or mental disability</w:t>
      </w:r>
      <w:r w:rsidR="005B59EE">
        <w:rPr>
          <w:rFonts w:cs="Arial"/>
          <w:sz w:val="24"/>
        </w:rPr>
        <w:t xml:space="preserve"> </w:t>
      </w:r>
      <w:r w:rsidR="005B59EE" w:rsidRPr="005C3EF7">
        <w:rPr>
          <w:rFonts w:cs="Arial"/>
          <w:sz w:val="24"/>
        </w:rPr>
        <w:t>(including being a certified medical marijuana patient)</w:t>
      </w:r>
      <w:r w:rsidRPr="00525490">
        <w:rPr>
          <w:rFonts w:cs="Arial"/>
          <w:sz w:val="24"/>
        </w:rPr>
        <w:t xml:space="preserve">, genetic information (including </w:t>
      </w:r>
      <w:r w:rsidR="005B59EE" w:rsidRPr="005C3EF7">
        <w:rPr>
          <w:rFonts w:cs="Arial"/>
          <w:sz w:val="24"/>
        </w:rPr>
        <w:t>predisposition or carrier status</w:t>
      </w:r>
      <w:r w:rsidRPr="00525490">
        <w:rPr>
          <w:rFonts w:cs="Arial"/>
          <w:sz w:val="24"/>
        </w:rPr>
        <w:t>),</w:t>
      </w:r>
      <w:r w:rsidR="005B59EE">
        <w:rPr>
          <w:rFonts w:cs="Arial"/>
          <w:sz w:val="24"/>
        </w:rPr>
        <w:t xml:space="preserve"> </w:t>
      </w:r>
      <w:r w:rsidR="005B59EE" w:rsidRPr="005C3EF7">
        <w:rPr>
          <w:rFonts w:cs="Arial"/>
          <w:sz w:val="24"/>
        </w:rPr>
        <w:t>gender dysphoria,</w:t>
      </w:r>
      <w:r w:rsidRPr="005C3EF7">
        <w:rPr>
          <w:rFonts w:cs="Arial"/>
          <w:sz w:val="24"/>
        </w:rPr>
        <w:t xml:space="preserve"> </w:t>
      </w:r>
      <w:r w:rsidR="005B59EE" w:rsidRPr="005C3EF7">
        <w:rPr>
          <w:rFonts w:cs="Arial"/>
          <w:sz w:val="24"/>
        </w:rPr>
        <w:t>military status,</w:t>
      </w:r>
      <w:r w:rsidR="005B59EE">
        <w:rPr>
          <w:rFonts w:cs="Arial"/>
          <w:sz w:val="24"/>
        </w:rPr>
        <w:t xml:space="preserve"> </w:t>
      </w:r>
      <w:r w:rsidRPr="00525490">
        <w:rPr>
          <w:rFonts w:cs="Arial"/>
          <w:sz w:val="24"/>
        </w:rPr>
        <w:t>veteran status, status as a victim of domestic violence, certain arrest or conviction records or any other status protected by federal, state or local law.</w:t>
      </w:r>
      <w:r w:rsidR="006B6162">
        <w:rPr>
          <w:rFonts w:cs="Arial"/>
          <w:sz w:val="24"/>
        </w:rPr>
        <w:t xml:space="preserve">  </w:t>
      </w:r>
    </w:p>
    <w:p w14:paraId="3F52F48E" w14:textId="25CC5FB5" w:rsidR="00525490" w:rsidRPr="00525490" w:rsidRDefault="00525490" w:rsidP="00720711">
      <w:pPr>
        <w:widowControl w:val="0"/>
        <w:spacing w:after="240"/>
        <w:jc w:val="both"/>
        <w:rPr>
          <w:rFonts w:cs="Arial"/>
          <w:sz w:val="24"/>
        </w:rPr>
      </w:pPr>
      <w:r>
        <w:rPr>
          <w:rFonts w:cs="Arial"/>
          <w:sz w:val="24"/>
        </w:rPr>
        <w:t>Eastern Suffolk BOCES</w:t>
      </w:r>
      <w:r w:rsidRPr="00525490">
        <w:rPr>
          <w:rFonts w:cs="Arial"/>
          <w:sz w:val="24"/>
        </w:rPr>
        <w:t xml:space="preserve"> </w:t>
      </w:r>
      <w:r w:rsidR="00C876B0">
        <w:rPr>
          <w:rFonts w:cs="Arial"/>
          <w:sz w:val="24"/>
        </w:rPr>
        <w:t xml:space="preserve">(the Agency) </w:t>
      </w:r>
      <w:r w:rsidRPr="00525490">
        <w:rPr>
          <w:rFonts w:cs="Arial"/>
          <w:sz w:val="24"/>
        </w:rPr>
        <w:t>is also committed to providing a work environment that is free of unlawful discrimination and harassment</w:t>
      </w:r>
      <w:r w:rsidR="00C14EEB">
        <w:rPr>
          <w:rFonts w:cs="Arial"/>
          <w:sz w:val="24"/>
        </w:rPr>
        <w:t xml:space="preserve"> </w:t>
      </w:r>
      <w:r w:rsidR="00C14EEB" w:rsidRPr="005C3EF7">
        <w:rPr>
          <w:rFonts w:cs="Arial"/>
          <w:sz w:val="24"/>
        </w:rPr>
        <w:t>based on any of the protected categories listed above</w:t>
      </w:r>
      <w:r w:rsidRPr="00525490">
        <w:rPr>
          <w:rFonts w:cs="Arial"/>
          <w:sz w:val="24"/>
        </w:rPr>
        <w:t>, including sexual harassment, and strictly prohibits discrimination and harassment by or against any individuals involved in our operations, including employees regardless of their position, applicants, interns</w:t>
      </w:r>
      <w:r w:rsidR="006A2782">
        <w:rPr>
          <w:rFonts w:cs="Arial"/>
          <w:sz w:val="24"/>
        </w:rPr>
        <w:t xml:space="preserve"> and student teachers</w:t>
      </w:r>
      <w:r w:rsidRPr="00525490">
        <w:rPr>
          <w:rFonts w:cs="Arial"/>
          <w:sz w:val="24"/>
        </w:rPr>
        <w:t xml:space="preserve">, vendors, contractors, sub-contractors, consultants and any other third party involved in our operations. </w:t>
      </w:r>
    </w:p>
    <w:p w14:paraId="6C7CCE44" w14:textId="5F28A391" w:rsidR="00525490" w:rsidRPr="00525490" w:rsidRDefault="00525490" w:rsidP="00720711">
      <w:pPr>
        <w:widowControl w:val="0"/>
        <w:spacing w:after="240"/>
        <w:jc w:val="both"/>
        <w:rPr>
          <w:rFonts w:cs="Arial"/>
          <w:sz w:val="24"/>
        </w:rPr>
      </w:pPr>
      <w:r w:rsidRPr="00525490">
        <w:rPr>
          <w:rFonts w:cs="Arial"/>
          <w:sz w:val="24"/>
        </w:rPr>
        <w:t xml:space="preserve">If such discrimination or harassment is committed in the workplace by someone not employed by </w:t>
      </w:r>
      <w:r>
        <w:rPr>
          <w:rFonts w:cs="Arial"/>
          <w:sz w:val="24"/>
        </w:rPr>
        <w:t>the Agency</w:t>
      </w:r>
      <w:r w:rsidRPr="00525490">
        <w:rPr>
          <w:rFonts w:cs="Arial"/>
          <w:sz w:val="24"/>
        </w:rPr>
        <w:t>, the reporting and complaint procedure in this policy should still be followed. The workplace includes: actual worksites, any setting in which work-related business is being conducted (whether during or after normal business hours), online and electronic interactions among</w:t>
      </w:r>
      <w:r>
        <w:rPr>
          <w:rFonts w:cs="Arial"/>
          <w:sz w:val="24"/>
        </w:rPr>
        <w:t xml:space="preserve"> agency</w:t>
      </w:r>
      <w:r w:rsidRPr="00525490">
        <w:rPr>
          <w:rFonts w:cs="Arial"/>
          <w:sz w:val="24"/>
        </w:rPr>
        <w:t xml:space="preserve"> employees and third parties involved in our operations, </w:t>
      </w:r>
      <w:r>
        <w:rPr>
          <w:rFonts w:cs="Arial"/>
          <w:sz w:val="24"/>
        </w:rPr>
        <w:t>agency-sponsored events, and agency</w:t>
      </w:r>
      <w:r w:rsidRPr="00525490">
        <w:rPr>
          <w:rFonts w:cs="Arial"/>
          <w:sz w:val="24"/>
        </w:rPr>
        <w:t xml:space="preserve"> owned/controlled property.  </w:t>
      </w:r>
    </w:p>
    <w:p w14:paraId="0B01E903" w14:textId="77777777" w:rsidR="00525490" w:rsidRPr="00525490" w:rsidRDefault="00525490" w:rsidP="00720711">
      <w:pPr>
        <w:widowControl w:val="0"/>
        <w:spacing w:after="240"/>
        <w:ind w:firstLine="720"/>
        <w:jc w:val="both"/>
        <w:rPr>
          <w:rFonts w:cs="Arial"/>
          <w:sz w:val="24"/>
        </w:rPr>
      </w:pPr>
      <w:bookmarkStart w:id="1" w:name="_Toc401851753"/>
      <w:bookmarkStart w:id="2" w:name="_Toc418163934"/>
      <w:r w:rsidRPr="00525490">
        <w:rPr>
          <w:rFonts w:cs="Arial"/>
          <w:i/>
          <w:sz w:val="24"/>
        </w:rPr>
        <w:t>Sexual Harassment</w:t>
      </w:r>
      <w:bookmarkEnd w:id="1"/>
      <w:bookmarkEnd w:id="2"/>
    </w:p>
    <w:p w14:paraId="6354D78D" w14:textId="1D20036D" w:rsidR="00525490" w:rsidRPr="00525490" w:rsidRDefault="00525490" w:rsidP="00720711">
      <w:pPr>
        <w:widowControl w:val="0"/>
        <w:spacing w:after="240"/>
        <w:jc w:val="both"/>
        <w:rPr>
          <w:rFonts w:cs="Arial"/>
          <w:sz w:val="24"/>
        </w:rPr>
      </w:pPr>
      <w:r w:rsidRPr="00525490">
        <w:rPr>
          <w:rFonts w:cs="Arial"/>
          <w:sz w:val="24"/>
        </w:rPr>
        <w:t>Sexual harassment is unwelcome verbal or physical behavior based upon a person’s gender/sex and includes unwanted verbal or physical sexual advances, requests for sexual favors or visual, verbal or physical conduct of a sexual nature when:</w:t>
      </w:r>
    </w:p>
    <w:p w14:paraId="48DE36A8" w14:textId="77777777" w:rsidR="00525490" w:rsidRPr="00525490" w:rsidRDefault="00525490" w:rsidP="00720711">
      <w:pPr>
        <w:numPr>
          <w:ilvl w:val="0"/>
          <w:numId w:val="5"/>
        </w:numPr>
        <w:spacing w:after="240"/>
        <w:jc w:val="both"/>
        <w:rPr>
          <w:rFonts w:cs="Arial"/>
          <w:sz w:val="24"/>
        </w:rPr>
      </w:pPr>
      <w:r w:rsidRPr="00525490">
        <w:rPr>
          <w:rFonts w:cs="Arial"/>
          <w:sz w:val="24"/>
        </w:rPr>
        <w:t>Submission to such conduct is made a term or condition of employment; or</w:t>
      </w:r>
    </w:p>
    <w:p w14:paraId="0FE39D3B" w14:textId="77777777" w:rsidR="00525490" w:rsidRPr="00525490" w:rsidRDefault="00525490" w:rsidP="00720711">
      <w:pPr>
        <w:numPr>
          <w:ilvl w:val="0"/>
          <w:numId w:val="5"/>
        </w:numPr>
        <w:spacing w:after="240"/>
        <w:jc w:val="both"/>
        <w:rPr>
          <w:rFonts w:cs="Arial"/>
          <w:sz w:val="24"/>
        </w:rPr>
      </w:pPr>
      <w:r w:rsidRPr="00525490">
        <w:rPr>
          <w:rFonts w:cs="Arial"/>
          <w:sz w:val="24"/>
        </w:rPr>
        <w:t>Submission to, or rejection of, such conduct is used as a basis for employment decisions affecting the individual; or</w:t>
      </w:r>
    </w:p>
    <w:p w14:paraId="2A139DE0" w14:textId="77777777" w:rsidR="00525490" w:rsidRPr="00525490" w:rsidRDefault="00525490" w:rsidP="00720711">
      <w:pPr>
        <w:numPr>
          <w:ilvl w:val="0"/>
          <w:numId w:val="5"/>
        </w:numPr>
        <w:spacing w:after="240"/>
        <w:jc w:val="both"/>
        <w:rPr>
          <w:rFonts w:cs="Arial"/>
          <w:sz w:val="24"/>
        </w:rPr>
      </w:pPr>
      <w:r w:rsidRPr="00525490">
        <w:rPr>
          <w:rFonts w:cs="Arial"/>
          <w:sz w:val="24"/>
        </w:rPr>
        <w:lastRenderedPageBreak/>
        <w:t>Such conduct has the purpose or effect of unreasonably interfering with an individual’s work performance or creating an intimidating, hostile or offensive working environment, even if the individual raising the concern is not the intended target of such conduct.</w:t>
      </w:r>
    </w:p>
    <w:p w14:paraId="6F9763B8" w14:textId="76235A04" w:rsidR="00C14EEB" w:rsidRDefault="00C14EEB" w:rsidP="00720711">
      <w:pPr>
        <w:widowControl w:val="0"/>
        <w:spacing w:after="240"/>
        <w:jc w:val="both"/>
        <w:rPr>
          <w:rFonts w:cs="Arial"/>
          <w:sz w:val="24"/>
        </w:rPr>
      </w:pPr>
      <w:r w:rsidRPr="00606BC4">
        <w:rPr>
          <w:rFonts w:cs="Arial"/>
          <w:sz w:val="24"/>
        </w:rPr>
        <w:t>Under the New York State Human Rights Law, sexual harassment is unlawful when it subjects an individual to inferior terms, conditions, or privileges of employment.  Harassment need not be severe or pervasive to be unlawful, and can be any harassing conduct that consists of more than petty slights or trivial inconveniences.</w:t>
      </w:r>
    </w:p>
    <w:p w14:paraId="4D9C721E" w14:textId="5A49BAF4" w:rsidR="00525490" w:rsidRPr="00525490" w:rsidRDefault="00525490" w:rsidP="00720711">
      <w:pPr>
        <w:widowControl w:val="0"/>
        <w:spacing w:after="240"/>
        <w:jc w:val="both"/>
        <w:rPr>
          <w:rFonts w:cs="Arial"/>
          <w:sz w:val="24"/>
        </w:rPr>
      </w:pPr>
      <w:r w:rsidRPr="00525490">
        <w:rPr>
          <w:rFonts w:cs="Arial"/>
          <w:sz w:val="24"/>
        </w:rPr>
        <w:t>The following is a non-exhaustive list of the types of conduct prohibited by this policy:</w:t>
      </w:r>
    </w:p>
    <w:p w14:paraId="05D2B747" w14:textId="77777777" w:rsidR="00525490" w:rsidRPr="00525490" w:rsidRDefault="00525490" w:rsidP="00720711">
      <w:pPr>
        <w:numPr>
          <w:ilvl w:val="0"/>
          <w:numId w:val="6"/>
        </w:numPr>
        <w:spacing w:after="240"/>
        <w:jc w:val="both"/>
        <w:rPr>
          <w:rFonts w:cs="Arial"/>
          <w:sz w:val="24"/>
        </w:rPr>
      </w:pPr>
      <w:r w:rsidRPr="00525490">
        <w:rPr>
          <w:rFonts w:cs="Arial"/>
          <w:sz w:val="24"/>
        </w:rPr>
        <w:t xml:space="preserve">Unwanted sexual advances or propositions (including repeated and unwelcome requests for dates); </w:t>
      </w:r>
    </w:p>
    <w:p w14:paraId="7FCDD21E" w14:textId="77777777" w:rsidR="00525490" w:rsidRPr="00525490" w:rsidRDefault="00525490" w:rsidP="00720711">
      <w:pPr>
        <w:numPr>
          <w:ilvl w:val="0"/>
          <w:numId w:val="6"/>
        </w:numPr>
        <w:spacing w:after="240"/>
        <w:jc w:val="both"/>
        <w:rPr>
          <w:rFonts w:cs="Arial"/>
          <w:sz w:val="24"/>
        </w:rPr>
      </w:pPr>
      <w:r w:rsidRPr="00525490">
        <w:rPr>
          <w:rFonts w:cs="Arial"/>
          <w:sz w:val="24"/>
        </w:rPr>
        <w:t>Offers of employment benefits in exchange for sexual favors;</w:t>
      </w:r>
    </w:p>
    <w:p w14:paraId="1602B300" w14:textId="77777777" w:rsidR="00525490" w:rsidRPr="00525490" w:rsidRDefault="00525490" w:rsidP="00720711">
      <w:pPr>
        <w:numPr>
          <w:ilvl w:val="0"/>
          <w:numId w:val="6"/>
        </w:numPr>
        <w:spacing w:after="240"/>
        <w:jc w:val="both"/>
        <w:rPr>
          <w:rFonts w:cs="Arial"/>
          <w:sz w:val="24"/>
        </w:rPr>
      </w:pPr>
      <w:r w:rsidRPr="00525490">
        <w:rPr>
          <w:rFonts w:cs="Arial"/>
          <w:sz w:val="24"/>
        </w:rPr>
        <w:t>Making or threatening reprisals after a negative response to sexual advances;</w:t>
      </w:r>
    </w:p>
    <w:p w14:paraId="0099C246" w14:textId="77777777" w:rsidR="00525490" w:rsidRPr="00525490" w:rsidRDefault="00525490" w:rsidP="00720711">
      <w:pPr>
        <w:numPr>
          <w:ilvl w:val="0"/>
          <w:numId w:val="6"/>
        </w:numPr>
        <w:spacing w:after="240"/>
        <w:jc w:val="both"/>
        <w:rPr>
          <w:rFonts w:cs="Arial"/>
          <w:sz w:val="24"/>
        </w:rPr>
      </w:pPr>
      <w:r w:rsidRPr="00525490">
        <w:rPr>
          <w:rFonts w:cs="Arial"/>
          <w:sz w:val="24"/>
        </w:rPr>
        <w:t>Visual conduct: leering, making sexual gestures, displaying of pornographic or sexually suggestive images, objects, pictures, cartoons, graffiti, posters or websites on computers, emails, cell phones, bulletin boards, etc.;</w:t>
      </w:r>
    </w:p>
    <w:p w14:paraId="25BE9E8B" w14:textId="25FEC154" w:rsidR="00525490" w:rsidRPr="00525490" w:rsidRDefault="00525490" w:rsidP="00720711">
      <w:pPr>
        <w:numPr>
          <w:ilvl w:val="0"/>
          <w:numId w:val="6"/>
        </w:numPr>
        <w:spacing w:after="240"/>
        <w:jc w:val="both"/>
        <w:rPr>
          <w:rFonts w:cs="Arial"/>
          <w:sz w:val="24"/>
        </w:rPr>
      </w:pPr>
      <w:r w:rsidRPr="00525490">
        <w:rPr>
          <w:rFonts w:cs="Arial"/>
          <w:sz w:val="24"/>
        </w:rPr>
        <w:t>Verbal conduct: making or using sexist remarks or derogatory comments based on gender</w:t>
      </w:r>
      <w:r w:rsidR="002E18E3">
        <w:rPr>
          <w:rFonts w:cs="Arial"/>
          <w:sz w:val="24"/>
        </w:rPr>
        <w:t xml:space="preserve">, </w:t>
      </w:r>
      <w:r w:rsidR="00C14EEB" w:rsidRPr="00606BC4">
        <w:rPr>
          <w:rFonts w:cs="Arial"/>
          <w:sz w:val="24"/>
        </w:rPr>
        <w:t>sexual orientation,</w:t>
      </w:r>
      <w:r w:rsidR="00C14EEB">
        <w:rPr>
          <w:rFonts w:cs="Arial"/>
          <w:sz w:val="24"/>
        </w:rPr>
        <w:t xml:space="preserve"> </w:t>
      </w:r>
      <w:r w:rsidR="002E18E3">
        <w:rPr>
          <w:rFonts w:cs="Arial"/>
          <w:sz w:val="24"/>
        </w:rPr>
        <w:t>gender identity or expression, transgender status</w:t>
      </w:r>
      <w:r w:rsidRPr="00525490">
        <w:rPr>
          <w:rFonts w:cs="Arial"/>
          <w:sz w:val="24"/>
        </w:rPr>
        <w:t>, innuendos, epithets, slurs, sexually explicit jokes, or lewd or sexual comments about an individual’s appearance, body or dress, whistling or  making suggestive or insulting sounds;</w:t>
      </w:r>
    </w:p>
    <w:p w14:paraId="1CD50D4C" w14:textId="77777777" w:rsidR="00525490" w:rsidRPr="00525490" w:rsidRDefault="00525490" w:rsidP="00720711">
      <w:pPr>
        <w:numPr>
          <w:ilvl w:val="0"/>
          <w:numId w:val="6"/>
        </w:numPr>
        <w:spacing w:after="240"/>
        <w:jc w:val="both"/>
        <w:rPr>
          <w:rFonts w:cs="Arial"/>
          <w:sz w:val="24"/>
        </w:rPr>
      </w:pPr>
      <w:r w:rsidRPr="00525490">
        <w:rPr>
          <w:rFonts w:cs="Arial"/>
          <w:sz w:val="24"/>
        </w:rPr>
        <w:t>Verbal and/or written abuse of a sexual nature, graphic verbal and/or written sexually degrading commentary about an individual's body or dress, sexually suggestive or obscene letters, notes, invitations, emails, text messages, or social media postings;</w:t>
      </w:r>
    </w:p>
    <w:p w14:paraId="346BD093" w14:textId="77777777" w:rsidR="00525490" w:rsidRPr="00525490" w:rsidRDefault="00525490" w:rsidP="00720711">
      <w:pPr>
        <w:numPr>
          <w:ilvl w:val="0"/>
          <w:numId w:val="6"/>
        </w:numPr>
        <w:spacing w:after="240"/>
        <w:jc w:val="both"/>
        <w:rPr>
          <w:rFonts w:cs="Arial"/>
          <w:sz w:val="24"/>
        </w:rPr>
      </w:pPr>
      <w:r w:rsidRPr="00525490">
        <w:rPr>
          <w:rFonts w:cs="Arial"/>
          <w:sz w:val="24"/>
        </w:rPr>
        <w:t>Physical conduct: unwelcome or inappropriate touching of employees or customers, physical violence, intimidation, assault or impeding or blocking normal movements;</w:t>
      </w:r>
    </w:p>
    <w:p w14:paraId="272D5CD3" w14:textId="4AD4B5D4" w:rsidR="00525490" w:rsidRPr="00525490" w:rsidRDefault="00525490" w:rsidP="00720711">
      <w:pPr>
        <w:numPr>
          <w:ilvl w:val="0"/>
          <w:numId w:val="6"/>
        </w:numPr>
        <w:spacing w:after="240"/>
        <w:jc w:val="both"/>
        <w:rPr>
          <w:rFonts w:cs="Arial"/>
          <w:sz w:val="24"/>
          <w:szCs w:val="20"/>
        </w:rPr>
      </w:pPr>
      <w:r w:rsidRPr="00525490">
        <w:rPr>
          <w:rFonts w:cs="Arial"/>
          <w:sz w:val="24"/>
          <w:szCs w:val="20"/>
        </w:rPr>
        <w:t>Hostile actions taken against an individual because of that individual’s sex, sexual orientation, gender identity</w:t>
      </w:r>
      <w:r w:rsidR="00C14EEB">
        <w:rPr>
          <w:rFonts w:cs="Arial"/>
          <w:sz w:val="24"/>
          <w:szCs w:val="20"/>
        </w:rPr>
        <w:t xml:space="preserve"> </w:t>
      </w:r>
      <w:r w:rsidR="00C14EEB" w:rsidRPr="00606BC4">
        <w:rPr>
          <w:rFonts w:cs="Arial"/>
          <w:sz w:val="24"/>
          <w:szCs w:val="20"/>
        </w:rPr>
        <w:t>or expression,</w:t>
      </w:r>
      <w:r w:rsidRPr="00525490">
        <w:rPr>
          <w:rFonts w:cs="Arial"/>
          <w:sz w:val="24"/>
          <w:szCs w:val="20"/>
        </w:rPr>
        <w:t xml:space="preserve"> or transgender status, such as:</w:t>
      </w:r>
    </w:p>
    <w:p w14:paraId="124EDC71" w14:textId="77777777" w:rsidR="00525490" w:rsidRPr="00525490" w:rsidRDefault="00525490" w:rsidP="00720711">
      <w:pPr>
        <w:numPr>
          <w:ilvl w:val="1"/>
          <w:numId w:val="6"/>
        </w:numPr>
        <w:spacing w:after="240"/>
        <w:jc w:val="both"/>
        <w:rPr>
          <w:rFonts w:cs="Arial"/>
          <w:sz w:val="24"/>
          <w:szCs w:val="20"/>
        </w:rPr>
      </w:pPr>
      <w:r w:rsidRPr="00525490">
        <w:rPr>
          <w:rFonts w:cs="Arial"/>
          <w:sz w:val="24"/>
          <w:szCs w:val="20"/>
        </w:rPr>
        <w:t>Interfering with, destroying or damaging a person’s workstation, tools or equipment, or otherwise interfering with the individual’s ability to perform the job;</w:t>
      </w:r>
    </w:p>
    <w:p w14:paraId="766B8558" w14:textId="77777777" w:rsidR="00525490" w:rsidRPr="00525490" w:rsidRDefault="00525490" w:rsidP="00720711">
      <w:pPr>
        <w:numPr>
          <w:ilvl w:val="1"/>
          <w:numId w:val="6"/>
        </w:numPr>
        <w:spacing w:after="240"/>
        <w:jc w:val="both"/>
        <w:rPr>
          <w:rFonts w:cs="Arial"/>
          <w:sz w:val="24"/>
          <w:szCs w:val="20"/>
        </w:rPr>
      </w:pPr>
      <w:r w:rsidRPr="00525490">
        <w:rPr>
          <w:rFonts w:cs="Arial"/>
          <w:sz w:val="24"/>
          <w:szCs w:val="20"/>
        </w:rPr>
        <w:t>Sabotaging an individual’s work; and</w:t>
      </w:r>
    </w:p>
    <w:p w14:paraId="15E7828F" w14:textId="77777777" w:rsidR="00525490" w:rsidRPr="00525490" w:rsidRDefault="00525490" w:rsidP="00720711">
      <w:pPr>
        <w:numPr>
          <w:ilvl w:val="1"/>
          <w:numId w:val="6"/>
        </w:numPr>
        <w:spacing w:after="240"/>
        <w:jc w:val="both"/>
        <w:rPr>
          <w:rFonts w:cs="Arial"/>
          <w:sz w:val="24"/>
          <w:szCs w:val="20"/>
        </w:rPr>
      </w:pPr>
      <w:r w:rsidRPr="00525490">
        <w:rPr>
          <w:rFonts w:cs="Arial"/>
          <w:sz w:val="24"/>
          <w:szCs w:val="20"/>
        </w:rPr>
        <w:lastRenderedPageBreak/>
        <w:t>Bullying, yelling, name-calling.</w:t>
      </w:r>
    </w:p>
    <w:p w14:paraId="6D88744C" w14:textId="77777777" w:rsidR="00525490" w:rsidRPr="00525490" w:rsidRDefault="00525490" w:rsidP="00720711">
      <w:pPr>
        <w:numPr>
          <w:ilvl w:val="0"/>
          <w:numId w:val="6"/>
        </w:numPr>
        <w:spacing w:after="240"/>
        <w:jc w:val="both"/>
        <w:rPr>
          <w:rFonts w:cs="Arial"/>
          <w:sz w:val="24"/>
        </w:rPr>
      </w:pPr>
      <w:r w:rsidRPr="00525490">
        <w:rPr>
          <w:rFonts w:cs="Arial"/>
          <w:sz w:val="24"/>
        </w:rPr>
        <w:t>Retaliation for making reports or threatening to report sexual harassment.</w:t>
      </w:r>
    </w:p>
    <w:p w14:paraId="26E28B56" w14:textId="7566B40C" w:rsidR="00525490" w:rsidRPr="00525490" w:rsidRDefault="00525490" w:rsidP="00720711">
      <w:pPr>
        <w:widowControl w:val="0"/>
        <w:spacing w:after="240"/>
        <w:jc w:val="both"/>
        <w:rPr>
          <w:rFonts w:cs="Arial"/>
          <w:sz w:val="24"/>
        </w:rPr>
      </w:pPr>
      <w:r w:rsidRPr="00525490">
        <w:rPr>
          <w:rFonts w:cs="Arial"/>
          <w:sz w:val="24"/>
        </w:rPr>
        <w:t xml:space="preserve">Behavior may constitute sexual harassment regardless of the gender of the person committing it or the person who is exposed to it. </w:t>
      </w:r>
      <w:bookmarkStart w:id="3" w:name="_Toc401851755"/>
      <w:bookmarkStart w:id="4" w:name="_Toc418163936"/>
    </w:p>
    <w:p w14:paraId="5C08224E" w14:textId="3CC1A537" w:rsidR="00525490" w:rsidRPr="00525490" w:rsidRDefault="00525490" w:rsidP="00720711">
      <w:pPr>
        <w:widowControl w:val="0"/>
        <w:spacing w:after="240"/>
        <w:jc w:val="both"/>
        <w:rPr>
          <w:rFonts w:cs="Arial"/>
          <w:sz w:val="24"/>
        </w:rPr>
      </w:pPr>
      <w:r w:rsidRPr="00525490">
        <w:rPr>
          <w:rFonts w:cs="Arial"/>
          <w:sz w:val="24"/>
        </w:rPr>
        <w:t>Individuals who observe conduct that may violate this policy are encouraged, but not required, to communicate to the offending person that the conduct is offensive and unwelcome.  Individuals who observe any behavior directed at others that may violate this policy are encouraged to take reasonable action to defuse such behavior if possible, such as intervening directly, alerting a supervisor or Human Resources to assist, or mak</w:t>
      </w:r>
      <w:r w:rsidR="00A337C2">
        <w:rPr>
          <w:rFonts w:cs="Arial"/>
          <w:sz w:val="24"/>
        </w:rPr>
        <w:t>ing a report under this policy.</w:t>
      </w:r>
      <w:r w:rsidR="00C14EEB">
        <w:rPr>
          <w:rFonts w:cs="Arial"/>
          <w:sz w:val="24"/>
        </w:rPr>
        <w:t xml:space="preserve">  </w:t>
      </w:r>
      <w:r w:rsidR="00C14EEB" w:rsidRPr="00606BC4">
        <w:rPr>
          <w:rFonts w:cs="Arial"/>
          <w:sz w:val="24"/>
        </w:rPr>
        <w:t>Supervisors who observe conduct that may violate this policy are required to alert Human Resources.</w:t>
      </w:r>
    </w:p>
    <w:p w14:paraId="3F18EFCA" w14:textId="77777777" w:rsidR="00525490" w:rsidRPr="00525490" w:rsidRDefault="00525490" w:rsidP="00720711">
      <w:pPr>
        <w:widowControl w:val="0"/>
        <w:spacing w:after="240"/>
        <w:ind w:firstLine="720"/>
        <w:jc w:val="both"/>
        <w:rPr>
          <w:rFonts w:cs="Arial"/>
          <w:sz w:val="24"/>
        </w:rPr>
      </w:pPr>
      <w:bookmarkStart w:id="5" w:name="_Toc401851754"/>
      <w:bookmarkStart w:id="6" w:name="_Toc525739481"/>
      <w:r w:rsidRPr="00525490">
        <w:rPr>
          <w:rFonts w:cs="Arial"/>
          <w:i/>
          <w:sz w:val="24"/>
        </w:rPr>
        <w:t>Other Types of Harassment</w:t>
      </w:r>
      <w:bookmarkEnd w:id="5"/>
      <w:bookmarkEnd w:id="6"/>
    </w:p>
    <w:p w14:paraId="3AB3EFFA" w14:textId="77777777" w:rsidR="00525490" w:rsidRPr="00525490" w:rsidRDefault="00525490" w:rsidP="00720711">
      <w:pPr>
        <w:widowControl w:val="0"/>
        <w:spacing w:after="240"/>
        <w:jc w:val="both"/>
        <w:rPr>
          <w:rFonts w:cs="Arial"/>
          <w:sz w:val="24"/>
        </w:rPr>
      </w:pPr>
      <w:r w:rsidRPr="00525490">
        <w:rPr>
          <w:rFonts w:cs="Arial"/>
          <w:sz w:val="24"/>
        </w:rPr>
        <w:t xml:space="preserve">Harassment on the basis of any legally protected status is prohibited. </w:t>
      </w:r>
      <w:bookmarkStart w:id="7" w:name="OLE_LINK1"/>
      <w:bookmarkStart w:id="8" w:name="OLE_LINK2"/>
      <w:r w:rsidRPr="00525490">
        <w:rPr>
          <w:rFonts w:cs="Arial"/>
          <w:sz w:val="24"/>
        </w:rPr>
        <w:t>Prohibited harassment may include behavior similar to the illustrations above pertaining to sexual harassment.  It also includes, but is not limited to</w:t>
      </w:r>
      <w:bookmarkEnd w:id="7"/>
      <w:bookmarkEnd w:id="8"/>
      <w:r w:rsidRPr="00525490">
        <w:rPr>
          <w:rFonts w:cs="Arial"/>
          <w:sz w:val="24"/>
        </w:rPr>
        <w:t>:</w:t>
      </w:r>
    </w:p>
    <w:p w14:paraId="240A0A43" w14:textId="77777777" w:rsidR="00525490" w:rsidRPr="00525490" w:rsidRDefault="00525490" w:rsidP="006B6162">
      <w:pPr>
        <w:spacing w:after="240"/>
        <w:ind w:left="720" w:hanging="360"/>
        <w:jc w:val="both"/>
        <w:rPr>
          <w:rFonts w:cs="Arial"/>
          <w:sz w:val="24"/>
        </w:rPr>
      </w:pPr>
      <w:r w:rsidRPr="00525490">
        <w:rPr>
          <w:rFonts w:cs="Arial"/>
          <w:sz w:val="24"/>
        </w:rPr>
        <w:t>Verbal conduct including taunting, jokes, threats, epithets, derogatory comments or slurs based on an individual’s protected status;</w:t>
      </w:r>
    </w:p>
    <w:p w14:paraId="303867E9" w14:textId="77777777" w:rsidR="00525490" w:rsidRPr="00525490" w:rsidRDefault="00525490" w:rsidP="00C876B0">
      <w:pPr>
        <w:spacing w:after="240"/>
        <w:ind w:left="720" w:hanging="360"/>
        <w:jc w:val="both"/>
        <w:rPr>
          <w:rFonts w:cs="Arial"/>
          <w:sz w:val="24"/>
        </w:rPr>
      </w:pPr>
      <w:r w:rsidRPr="00525490">
        <w:rPr>
          <w:rFonts w:cs="Arial"/>
          <w:sz w:val="24"/>
        </w:rPr>
        <w:t>Visual and/or written conduct including derogatory posters, photographs, calendars, cartoons, drawings, websites, emails, text messages or gestures based on an individual’s protected status; and</w:t>
      </w:r>
    </w:p>
    <w:p w14:paraId="7EF718A0" w14:textId="77777777" w:rsidR="00525490" w:rsidRPr="00525490" w:rsidRDefault="00525490" w:rsidP="00C876B0">
      <w:pPr>
        <w:spacing w:after="240"/>
        <w:ind w:left="720" w:hanging="360"/>
        <w:jc w:val="both"/>
        <w:rPr>
          <w:rFonts w:cs="Arial"/>
          <w:sz w:val="24"/>
        </w:rPr>
      </w:pPr>
      <w:r w:rsidRPr="00525490">
        <w:rPr>
          <w:rFonts w:cs="Arial"/>
          <w:sz w:val="24"/>
        </w:rPr>
        <w:t>Physical conduct including assault, unwanted touching or blocking normal movement because of an individual’s protected status.</w:t>
      </w:r>
    </w:p>
    <w:p w14:paraId="6878C129" w14:textId="77777777" w:rsidR="00525490" w:rsidRPr="00525490" w:rsidRDefault="00525490" w:rsidP="00720711">
      <w:pPr>
        <w:widowControl w:val="0"/>
        <w:spacing w:after="240"/>
        <w:ind w:firstLine="720"/>
        <w:jc w:val="both"/>
        <w:rPr>
          <w:rFonts w:cs="Arial"/>
          <w:i/>
          <w:sz w:val="24"/>
        </w:rPr>
      </w:pPr>
      <w:r w:rsidRPr="00525490">
        <w:rPr>
          <w:rFonts w:cs="Arial"/>
          <w:i/>
          <w:sz w:val="24"/>
        </w:rPr>
        <w:t>Protection Against Retaliation</w:t>
      </w:r>
    </w:p>
    <w:p w14:paraId="7B9738A7" w14:textId="3CF2D4D4" w:rsidR="00525490" w:rsidRPr="00525490" w:rsidRDefault="00525490" w:rsidP="00720711">
      <w:pPr>
        <w:spacing w:after="240"/>
        <w:jc w:val="both"/>
        <w:rPr>
          <w:rFonts w:cs="Arial"/>
          <w:sz w:val="24"/>
        </w:rPr>
      </w:pPr>
      <w:r w:rsidRPr="00525490">
        <w:rPr>
          <w:rFonts w:cs="Arial"/>
          <w:sz w:val="24"/>
        </w:rPr>
        <w:t xml:space="preserve">Retaliation is prohibited against any </w:t>
      </w:r>
      <w:r w:rsidRPr="00525490">
        <w:rPr>
          <w:rFonts w:cs="Arial"/>
          <w:sz w:val="24"/>
          <w:szCs w:val="20"/>
        </w:rPr>
        <w:t>person covered</w:t>
      </w:r>
      <w:r w:rsidRPr="00525490">
        <w:rPr>
          <w:rFonts w:cs="Arial"/>
          <w:sz w:val="24"/>
        </w:rPr>
        <w:t xml:space="preserve"> by </w:t>
      </w:r>
      <w:r w:rsidRPr="00525490">
        <w:rPr>
          <w:rFonts w:cs="Arial"/>
          <w:sz w:val="24"/>
          <w:szCs w:val="20"/>
        </w:rPr>
        <w:t>this policy who,</w:t>
      </w:r>
      <w:r w:rsidRPr="00525490">
        <w:rPr>
          <w:rFonts w:cs="Arial"/>
          <w:sz w:val="24"/>
        </w:rPr>
        <w:t xml:space="preserve"> in </w:t>
      </w:r>
      <w:r w:rsidRPr="00525490">
        <w:rPr>
          <w:rFonts w:cs="Arial"/>
          <w:sz w:val="24"/>
          <w:szCs w:val="20"/>
        </w:rPr>
        <w:t>good faith: makes a complaint of discrimination, harassment, and retaliation either internally or with a government agency</w:t>
      </w:r>
      <w:r w:rsidR="00640488" w:rsidRPr="00606BC4">
        <w:rPr>
          <w:rFonts w:cs="Arial"/>
          <w:sz w:val="24"/>
          <w:szCs w:val="20"/>
        </w:rPr>
        <w:t>;</w:t>
      </w:r>
      <w:r w:rsidRPr="00525490">
        <w:rPr>
          <w:rFonts w:cs="Arial"/>
          <w:sz w:val="24"/>
        </w:rPr>
        <w:t xml:space="preserve"> </w:t>
      </w:r>
      <w:r w:rsidR="00640488" w:rsidRPr="00606BC4">
        <w:rPr>
          <w:rFonts w:cs="Arial"/>
          <w:sz w:val="24"/>
        </w:rPr>
        <w:t>uses</w:t>
      </w:r>
      <w:r w:rsidRPr="00525490">
        <w:rPr>
          <w:rFonts w:cs="Arial"/>
          <w:sz w:val="24"/>
        </w:rPr>
        <w:t xml:space="preserve"> the complaint </w:t>
      </w:r>
      <w:r w:rsidRPr="00525490">
        <w:rPr>
          <w:rFonts w:cs="Arial"/>
          <w:sz w:val="24"/>
          <w:szCs w:val="20"/>
        </w:rPr>
        <w:t>procedures</w:t>
      </w:r>
      <w:r w:rsidRPr="00525490">
        <w:rPr>
          <w:rFonts w:cs="Arial"/>
          <w:sz w:val="24"/>
        </w:rPr>
        <w:t xml:space="preserve"> described below; </w:t>
      </w:r>
      <w:r w:rsidRPr="00525490">
        <w:rPr>
          <w:rFonts w:cs="Arial"/>
          <w:sz w:val="24"/>
          <w:szCs w:val="20"/>
        </w:rPr>
        <w:t>objects</w:t>
      </w:r>
      <w:r w:rsidRPr="00525490">
        <w:rPr>
          <w:rFonts w:cs="Arial"/>
          <w:sz w:val="24"/>
        </w:rPr>
        <w:t xml:space="preserve"> to, </w:t>
      </w:r>
      <w:r w:rsidRPr="00525490">
        <w:rPr>
          <w:rFonts w:cs="Arial"/>
          <w:sz w:val="24"/>
          <w:szCs w:val="20"/>
        </w:rPr>
        <w:t>opposes</w:t>
      </w:r>
      <w:r w:rsidRPr="00525490">
        <w:rPr>
          <w:rFonts w:cs="Arial"/>
          <w:sz w:val="24"/>
        </w:rPr>
        <w:t xml:space="preserve"> or </w:t>
      </w:r>
      <w:r w:rsidRPr="00525490">
        <w:rPr>
          <w:rFonts w:cs="Arial"/>
          <w:sz w:val="24"/>
          <w:szCs w:val="20"/>
        </w:rPr>
        <w:t>speaks</w:t>
      </w:r>
      <w:r w:rsidRPr="00525490">
        <w:rPr>
          <w:rFonts w:cs="Arial"/>
          <w:sz w:val="24"/>
        </w:rPr>
        <w:t xml:space="preserve"> out against discrimination, harassment, or retaliation; </w:t>
      </w:r>
      <w:r w:rsidRPr="00525490">
        <w:rPr>
          <w:rFonts w:cs="Arial"/>
          <w:sz w:val="24"/>
          <w:szCs w:val="20"/>
        </w:rPr>
        <w:t>participates in an investigation of discrimination, harassment or retaliation;  encourages another person to report discrimination, harassment or retaliation;</w:t>
      </w:r>
      <w:r w:rsidRPr="00525490">
        <w:rPr>
          <w:rFonts w:cs="Arial"/>
          <w:sz w:val="24"/>
        </w:rPr>
        <w:t xml:space="preserve"> or </w:t>
      </w:r>
      <w:r w:rsidRPr="00525490">
        <w:rPr>
          <w:rFonts w:cs="Arial"/>
          <w:sz w:val="24"/>
          <w:szCs w:val="20"/>
        </w:rPr>
        <w:t>files, testifies, assists or participates</w:t>
      </w:r>
      <w:r w:rsidRPr="00525490">
        <w:rPr>
          <w:rFonts w:cs="Arial"/>
          <w:sz w:val="24"/>
        </w:rPr>
        <w:t xml:space="preserve"> in any manner in any investigation, proceeding or hearing conducted by a governmental enforcement agency regarding discrimination, harassment or retaliation. </w:t>
      </w:r>
    </w:p>
    <w:p w14:paraId="73655B0C" w14:textId="163F45DE" w:rsidR="00525490" w:rsidRPr="00525490" w:rsidRDefault="00525490" w:rsidP="00720711">
      <w:pPr>
        <w:spacing w:after="240"/>
        <w:jc w:val="both"/>
        <w:rPr>
          <w:rFonts w:cs="Arial"/>
          <w:sz w:val="24"/>
        </w:rPr>
      </w:pPr>
      <w:r w:rsidRPr="00525490">
        <w:rPr>
          <w:rFonts w:cs="Arial"/>
          <w:sz w:val="24"/>
        </w:rPr>
        <w:t xml:space="preserve">Prohibited retaliation includes, but is not limited to, termination, demotion, suspension, failure to hire or consider for hire, failure to give equal consideration in making employment decisions, failure to make employment recommendations impartially, adversely affecting working conditions or otherwise denying any employment benefit because someone has raised a complaint or participated in an investigation of </w:t>
      </w:r>
      <w:r w:rsidRPr="00525490">
        <w:rPr>
          <w:rFonts w:cs="Arial"/>
          <w:sz w:val="24"/>
        </w:rPr>
        <w:lastRenderedPageBreak/>
        <w:t>discrimination or harassment</w:t>
      </w:r>
      <w:r w:rsidRPr="00525490">
        <w:rPr>
          <w:rFonts w:cs="Arial"/>
          <w:sz w:val="24"/>
          <w:szCs w:val="20"/>
        </w:rPr>
        <w:t>.</w:t>
      </w:r>
      <w:r w:rsidRPr="00525490">
        <w:rPr>
          <w:rFonts w:cs="Arial"/>
          <w:sz w:val="24"/>
        </w:rPr>
        <w:t xml:space="preserve"> </w:t>
      </w:r>
      <w:r w:rsidR="00640488">
        <w:rPr>
          <w:rFonts w:cs="Arial"/>
          <w:sz w:val="24"/>
        </w:rPr>
        <w:t xml:space="preserve"> </w:t>
      </w:r>
      <w:r w:rsidR="00640488" w:rsidRPr="00606BC4">
        <w:rPr>
          <w:rFonts w:cs="Arial"/>
          <w:sz w:val="24"/>
        </w:rPr>
        <w:t>As with discrimination and harassment, r</w:t>
      </w:r>
      <w:r w:rsidRPr="00525490">
        <w:rPr>
          <w:rFonts w:cs="Arial"/>
          <w:sz w:val="24"/>
        </w:rPr>
        <w:t>etaliation is unlawful and a form of misconduct that will result in disciplinary action, up to and including termination of employment.</w:t>
      </w:r>
    </w:p>
    <w:p w14:paraId="1262C948" w14:textId="21A97BDA" w:rsidR="00525490" w:rsidRDefault="00525490" w:rsidP="00720711">
      <w:pPr>
        <w:widowControl w:val="0"/>
        <w:spacing w:after="240"/>
        <w:jc w:val="both"/>
        <w:rPr>
          <w:rFonts w:cs="Arial"/>
          <w:sz w:val="24"/>
        </w:rPr>
      </w:pPr>
      <w:r w:rsidRPr="00525490">
        <w:rPr>
          <w:rFonts w:cs="Arial"/>
          <w:sz w:val="24"/>
        </w:rPr>
        <w:t>Individuals who believe that they or any other individual has been subjected to retaliation should report this concern using the complaint procedure set forth below.</w:t>
      </w:r>
    </w:p>
    <w:p w14:paraId="72D0949D" w14:textId="22B15269" w:rsidR="00525490" w:rsidRPr="00525490" w:rsidRDefault="00525490" w:rsidP="004B4483">
      <w:pPr>
        <w:widowControl w:val="0"/>
        <w:spacing w:after="240"/>
        <w:ind w:firstLine="720"/>
        <w:jc w:val="both"/>
        <w:rPr>
          <w:rFonts w:cs="Arial"/>
          <w:i/>
          <w:sz w:val="24"/>
        </w:rPr>
      </w:pPr>
      <w:r w:rsidRPr="00525490">
        <w:rPr>
          <w:rFonts w:cs="Arial"/>
          <w:i/>
          <w:sz w:val="24"/>
        </w:rPr>
        <w:t>Internal Complaint Procedure</w:t>
      </w:r>
      <w:bookmarkEnd w:id="3"/>
      <w:bookmarkEnd w:id="4"/>
    </w:p>
    <w:p w14:paraId="46E2337C" w14:textId="2B018373" w:rsidR="00525490" w:rsidRPr="00525490" w:rsidRDefault="00525490" w:rsidP="00720711">
      <w:pPr>
        <w:widowControl w:val="0"/>
        <w:spacing w:after="240"/>
        <w:jc w:val="both"/>
        <w:rPr>
          <w:rFonts w:cs="Arial"/>
          <w:sz w:val="24"/>
        </w:rPr>
      </w:pPr>
      <w:r w:rsidRPr="00525490">
        <w:rPr>
          <w:rFonts w:cs="Arial"/>
          <w:sz w:val="24"/>
        </w:rPr>
        <w:t xml:space="preserve">Individuals who believe that they or any other individual has been subjected to discrimination, harassment, or retaliation should, as soon as possible, report it to their </w:t>
      </w:r>
      <w:r w:rsidR="006B6162">
        <w:rPr>
          <w:rFonts w:cs="Arial"/>
          <w:sz w:val="24"/>
        </w:rPr>
        <w:t>sup</w:t>
      </w:r>
      <w:r w:rsidR="00C876B0">
        <w:rPr>
          <w:rFonts w:cs="Arial"/>
          <w:sz w:val="24"/>
        </w:rPr>
        <w:t xml:space="preserve">ervisor, building principal, </w:t>
      </w:r>
      <w:r w:rsidR="006B6162">
        <w:rPr>
          <w:rFonts w:cs="Arial"/>
          <w:sz w:val="24"/>
        </w:rPr>
        <w:t>other administrator</w:t>
      </w:r>
      <w:r w:rsidRPr="00525490">
        <w:rPr>
          <w:rFonts w:cs="Arial"/>
          <w:sz w:val="24"/>
        </w:rPr>
        <w:t xml:space="preserve">, or </w:t>
      </w:r>
      <w:r w:rsidR="006B6162">
        <w:rPr>
          <w:rFonts w:cs="Arial"/>
          <w:sz w:val="24"/>
        </w:rPr>
        <w:t>the Assistant Superintendent for</w:t>
      </w:r>
      <w:r w:rsidRPr="00525490">
        <w:rPr>
          <w:rFonts w:cs="Arial"/>
          <w:sz w:val="24"/>
        </w:rPr>
        <w:t xml:space="preserve"> Human Resources </w:t>
      </w:r>
      <w:r w:rsidR="006B6162">
        <w:rPr>
          <w:rFonts w:cs="Arial"/>
          <w:sz w:val="24"/>
        </w:rPr>
        <w:t>at (631) 687-3029</w:t>
      </w:r>
      <w:r w:rsidR="006A2782">
        <w:rPr>
          <w:rFonts w:cs="Arial"/>
          <w:sz w:val="24"/>
        </w:rPr>
        <w:t xml:space="preserve"> or Associate Superintendent for Educational Services at (631) 687-3056</w:t>
      </w:r>
      <w:r w:rsidRPr="00525490">
        <w:rPr>
          <w:rFonts w:cs="Arial"/>
          <w:sz w:val="24"/>
        </w:rPr>
        <w:t xml:space="preserve">.  Reports can be made verbally or in writing.  To submit a complaint in writing, individuals may use the sample complaint form </w:t>
      </w:r>
      <w:r w:rsidR="00E94542">
        <w:rPr>
          <w:rFonts w:cs="Arial"/>
          <w:sz w:val="24"/>
        </w:rPr>
        <w:t>(Employee Complaint Form 5121</w:t>
      </w:r>
      <w:r w:rsidR="006B6162">
        <w:rPr>
          <w:rFonts w:cs="Arial"/>
          <w:sz w:val="24"/>
        </w:rPr>
        <w:t>F</w:t>
      </w:r>
      <w:r w:rsidR="00252904">
        <w:rPr>
          <w:rFonts w:cs="Arial"/>
          <w:sz w:val="24"/>
        </w:rPr>
        <w:t>.</w:t>
      </w:r>
      <w:r w:rsidR="006B6162">
        <w:rPr>
          <w:rFonts w:cs="Arial"/>
          <w:sz w:val="24"/>
        </w:rPr>
        <w:t xml:space="preserve">1, which can be found on </w:t>
      </w:r>
      <w:r w:rsidR="00C029D0" w:rsidRPr="001865FE">
        <w:rPr>
          <w:rFonts w:cs="Arial"/>
          <w:i/>
          <w:sz w:val="24"/>
        </w:rPr>
        <w:t>DocuShare</w:t>
      </w:r>
      <w:r w:rsidR="00C029D0">
        <w:rPr>
          <w:rFonts w:cs="Arial"/>
          <w:sz w:val="24"/>
        </w:rPr>
        <w:t xml:space="preserve">, also known as </w:t>
      </w:r>
      <w:r w:rsidR="006B6162" w:rsidRPr="001865FE">
        <w:rPr>
          <w:rFonts w:cs="Arial"/>
          <w:i/>
          <w:sz w:val="24"/>
        </w:rPr>
        <w:t>eDocs</w:t>
      </w:r>
      <w:r w:rsidR="006B6162">
        <w:rPr>
          <w:rFonts w:cs="Arial"/>
          <w:sz w:val="24"/>
        </w:rPr>
        <w:t>)</w:t>
      </w:r>
      <w:r w:rsidRPr="00525490">
        <w:rPr>
          <w:rFonts w:cs="Arial"/>
          <w:sz w:val="24"/>
        </w:rPr>
        <w:t>, but are not required to do so. Employees are not required to raise a complaint with the</w:t>
      </w:r>
      <w:r w:rsidR="00C876B0">
        <w:rPr>
          <w:rFonts w:cs="Arial"/>
          <w:sz w:val="24"/>
        </w:rPr>
        <w:t>ir immediate supervisor, building principal, other administrator</w:t>
      </w:r>
      <w:r w:rsidRPr="00525490">
        <w:rPr>
          <w:rFonts w:cs="Arial"/>
          <w:sz w:val="24"/>
        </w:rPr>
        <w:t xml:space="preserve"> or person who has engaged in the complained of conduct.</w:t>
      </w:r>
    </w:p>
    <w:p w14:paraId="6EDDFDFA" w14:textId="656FEFAE" w:rsidR="00525490" w:rsidRPr="00525490" w:rsidRDefault="00525490" w:rsidP="00720711">
      <w:pPr>
        <w:widowControl w:val="0"/>
        <w:spacing w:after="240"/>
        <w:jc w:val="both"/>
        <w:rPr>
          <w:rFonts w:cs="Arial"/>
          <w:sz w:val="24"/>
        </w:rPr>
      </w:pPr>
      <w:r w:rsidRPr="00525490">
        <w:rPr>
          <w:rFonts w:cs="Arial"/>
          <w:sz w:val="24"/>
        </w:rPr>
        <w:t xml:space="preserve">After a report is received, or the </w:t>
      </w:r>
      <w:r>
        <w:rPr>
          <w:rFonts w:cs="Arial"/>
          <w:sz w:val="24"/>
        </w:rPr>
        <w:t>Agency</w:t>
      </w:r>
      <w:r w:rsidRPr="00525490">
        <w:rPr>
          <w:rFonts w:cs="Arial"/>
          <w:sz w:val="24"/>
        </w:rPr>
        <w:t xml:space="preserve"> otherwise becomes aware of a possible violation of this policy, a fair, timely, thorough and objective investigation will be undertaken if needed. </w:t>
      </w:r>
      <w:r w:rsidR="00606BC4">
        <w:rPr>
          <w:rFonts w:cs="Arial"/>
          <w:sz w:val="24"/>
        </w:rPr>
        <w:t xml:space="preserve"> </w:t>
      </w:r>
      <w:r w:rsidRPr="00525490">
        <w:rPr>
          <w:rFonts w:cs="Arial"/>
          <w:sz w:val="24"/>
        </w:rPr>
        <w:t xml:space="preserve">The </w:t>
      </w:r>
      <w:r>
        <w:rPr>
          <w:rFonts w:cs="Arial"/>
          <w:sz w:val="24"/>
        </w:rPr>
        <w:t>Agency</w:t>
      </w:r>
      <w:r w:rsidRPr="00525490">
        <w:rPr>
          <w:rFonts w:cs="Arial"/>
          <w:sz w:val="24"/>
        </w:rPr>
        <w:t xml:space="preserve"> will maintain confidentiality surrounding the investigation to the extent possible, consistent with </w:t>
      </w:r>
      <w:r w:rsidR="00640488" w:rsidRPr="00606BC4">
        <w:rPr>
          <w:rFonts w:cs="Arial"/>
          <w:sz w:val="24"/>
        </w:rPr>
        <w:t>the need to conduct</w:t>
      </w:r>
      <w:r w:rsidR="00640488">
        <w:rPr>
          <w:rFonts w:cs="Arial"/>
          <w:sz w:val="24"/>
        </w:rPr>
        <w:t xml:space="preserve"> </w:t>
      </w:r>
      <w:r w:rsidRPr="00525490">
        <w:rPr>
          <w:rFonts w:cs="Arial"/>
          <w:sz w:val="24"/>
        </w:rPr>
        <w:t xml:space="preserve">a thorough and objective investigation, and to the extent permitted or required under applicable law. Both the individual(s) raising the complaint and the individual(s) about whom the complaint was made will be permitted to provide information that may be relevant to the investigation.  The </w:t>
      </w:r>
      <w:r>
        <w:rPr>
          <w:rFonts w:cs="Arial"/>
          <w:sz w:val="24"/>
        </w:rPr>
        <w:t>Agency</w:t>
      </w:r>
      <w:r w:rsidRPr="00525490">
        <w:rPr>
          <w:rFonts w:cs="Arial"/>
          <w:sz w:val="24"/>
        </w:rPr>
        <w:t xml:space="preserve"> also will gather information and speak with witnesses, as applicable. Once the investigation is completed and a determination is made, the complaining party will be advised that the investigation has been completed and may be informed of the resolution.  The individual(s) about whom the complaint was made also will be informed of the outcome and if the </w:t>
      </w:r>
      <w:r>
        <w:rPr>
          <w:rFonts w:cs="Arial"/>
          <w:sz w:val="24"/>
        </w:rPr>
        <w:t>Agency</w:t>
      </w:r>
      <w:r w:rsidRPr="00525490">
        <w:rPr>
          <w:rFonts w:cs="Arial"/>
          <w:sz w:val="24"/>
        </w:rPr>
        <w:t xml:space="preserve"> determines that this policy has been violated, will be subject to disciplinary action</w:t>
      </w:r>
      <w:r w:rsidR="00640488">
        <w:rPr>
          <w:rFonts w:cs="Arial"/>
          <w:sz w:val="24"/>
        </w:rPr>
        <w:t xml:space="preserve"> </w:t>
      </w:r>
      <w:r w:rsidR="00640488" w:rsidRPr="00606BC4">
        <w:rPr>
          <w:rFonts w:cs="Arial"/>
          <w:sz w:val="24"/>
        </w:rPr>
        <w:t>and/or such other remedial actions as are appropriate in the circumstances</w:t>
      </w:r>
      <w:r w:rsidRPr="00525490">
        <w:rPr>
          <w:rFonts w:cs="Arial"/>
          <w:sz w:val="24"/>
        </w:rPr>
        <w:t xml:space="preserve">. The </w:t>
      </w:r>
      <w:r>
        <w:rPr>
          <w:rFonts w:cs="Arial"/>
          <w:sz w:val="24"/>
        </w:rPr>
        <w:t>Agency</w:t>
      </w:r>
      <w:r w:rsidRPr="00525490">
        <w:rPr>
          <w:rFonts w:cs="Arial"/>
          <w:sz w:val="24"/>
        </w:rPr>
        <w:t xml:space="preserve"> expects all employees to fully cooperate with any investigation conducted by the </w:t>
      </w:r>
      <w:r>
        <w:rPr>
          <w:rFonts w:cs="Arial"/>
          <w:sz w:val="24"/>
        </w:rPr>
        <w:t>Agency</w:t>
      </w:r>
      <w:r w:rsidRPr="00525490">
        <w:rPr>
          <w:rFonts w:cs="Arial"/>
          <w:sz w:val="24"/>
        </w:rPr>
        <w:t xml:space="preserve"> into a complaint of discriminat</w:t>
      </w:r>
      <w:r w:rsidR="00A337C2">
        <w:rPr>
          <w:rFonts w:cs="Arial"/>
          <w:sz w:val="24"/>
        </w:rPr>
        <w:t>ion, harassment or retaliation.</w:t>
      </w:r>
    </w:p>
    <w:p w14:paraId="5565492B" w14:textId="77777777" w:rsidR="00525490" w:rsidRPr="00525490" w:rsidRDefault="00525490" w:rsidP="00720711">
      <w:pPr>
        <w:spacing w:after="240"/>
        <w:ind w:firstLine="720"/>
        <w:jc w:val="both"/>
        <w:rPr>
          <w:rFonts w:cs="Arial"/>
          <w:i/>
          <w:sz w:val="24"/>
          <w:szCs w:val="20"/>
        </w:rPr>
      </w:pPr>
      <w:r w:rsidRPr="00525490">
        <w:rPr>
          <w:rFonts w:cs="Arial"/>
          <w:i/>
          <w:sz w:val="24"/>
          <w:szCs w:val="20"/>
        </w:rPr>
        <w:t>Supervisory Responsibilities</w:t>
      </w:r>
    </w:p>
    <w:p w14:paraId="29B4DF73" w14:textId="4553FB9F" w:rsidR="00525490" w:rsidRPr="00525490" w:rsidRDefault="006B6162" w:rsidP="00720711">
      <w:pPr>
        <w:spacing w:after="240"/>
        <w:jc w:val="both"/>
        <w:rPr>
          <w:rFonts w:cs="Arial"/>
          <w:sz w:val="24"/>
          <w:szCs w:val="20"/>
        </w:rPr>
      </w:pPr>
      <w:r>
        <w:rPr>
          <w:rFonts w:cs="Arial"/>
          <w:sz w:val="24"/>
          <w:szCs w:val="20"/>
        </w:rPr>
        <w:t xml:space="preserve">All supervisors, building principals, or other administrators </w:t>
      </w:r>
      <w:r w:rsidR="00525490" w:rsidRPr="00525490">
        <w:rPr>
          <w:rFonts w:cs="Arial"/>
          <w:sz w:val="24"/>
          <w:szCs w:val="20"/>
        </w:rPr>
        <w:t xml:space="preserve">who receive a complaint or information about suspected discrimination, harassment or retaliation, observe behavior that may violate this policy or for any other reason suspect that discrimination, harassment or retaliation is occurring, are required to report such information to </w:t>
      </w:r>
      <w:r>
        <w:rPr>
          <w:rFonts w:cs="Arial"/>
          <w:sz w:val="24"/>
          <w:szCs w:val="20"/>
        </w:rPr>
        <w:t>the Assistant Superintendent for Human Resources at (631) 687-3029</w:t>
      </w:r>
      <w:r w:rsidR="006A2782">
        <w:rPr>
          <w:rFonts w:cs="Arial"/>
          <w:sz w:val="24"/>
          <w:szCs w:val="20"/>
        </w:rPr>
        <w:t xml:space="preserve"> or Associate Superintendent for Educational Services at (631) 687-3056</w:t>
      </w:r>
      <w:r>
        <w:rPr>
          <w:rFonts w:cs="Arial"/>
          <w:sz w:val="24"/>
          <w:szCs w:val="20"/>
        </w:rPr>
        <w:t>.</w:t>
      </w:r>
      <w:r w:rsidR="00525490" w:rsidRPr="00525490">
        <w:rPr>
          <w:rFonts w:cs="Arial"/>
          <w:sz w:val="24"/>
          <w:szCs w:val="20"/>
        </w:rPr>
        <w:t xml:space="preserve"> </w:t>
      </w:r>
    </w:p>
    <w:p w14:paraId="1AECF6AD" w14:textId="3A247D87" w:rsidR="00525490" w:rsidRPr="00525490" w:rsidRDefault="00525490" w:rsidP="00720711">
      <w:pPr>
        <w:widowControl w:val="0"/>
        <w:spacing w:after="240"/>
        <w:jc w:val="both"/>
        <w:rPr>
          <w:rFonts w:cs="Arial"/>
          <w:sz w:val="24"/>
        </w:rPr>
      </w:pPr>
      <w:r w:rsidRPr="00525490">
        <w:rPr>
          <w:rFonts w:cs="Arial"/>
          <w:sz w:val="24"/>
          <w:szCs w:val="20"/>
        </w:rPr>
        <w:t xml:space="preserve">In addition to being subject to discipline for engaging in discrimination, harassment or </w:t>
      </w:r>
      <w:r w:rsidRPr="00525490">
        <w:rPr>
          <w:rFonts w:cs="Arial"/>
          <w:sz w:val="24"/>
          <w:szCs w:val="20"/>
        </w:rPr>
        <w:lastRenderedPageBreak/>
        <w:t>retaliation them</w:t>
      </w:r>
      <w:r w:rsidR="00C876B0">
        <w:rPr>
          <w:rFonts w:cs="Arial"/>
          <w:sz w:val="24"/>
          <w:szCs w:val="20"/>
        </w:rPr>
        <w:t>selves, supervisors, building principals or other administrators</w:t>
      </w:r>
      <w:r w:rsidRPr="00525490">
        <w:rPr>
          <w:rFonts w:cs="Arial"/>
          <w:sz w:val="24"/>
          <w:szCs w:val="20"/>
        </w:rPr>
        <w:t xml:space="preserve"> will be subject to discipline (up to and including termination) for failing to report suspected discrimination, harassment or retaliation or otherwise knowingly all</w:t>
      </w:r>
      <w:r w:rsidR="00073CB6">
        <w:rPr>
          <w:rFonts w:cs="Arial"/>
          <w:sz w:val="24"/>
          <w:szCs w:val="20"/>
        </w:rPr>
        <w:t>owing such conduct to continue.</w:t>
      </w:r>
    </w:p>
    <w:p w14:paraId="0FC011A8" w14:textId="79BE23C4" w:rsidR="00525490" w:rsidRPr="00525490" w:rsidRDefault="00525490" w:rsidP="00A337C2">
      <w:pPr>
        <w:widowControl w:val="0"/>
        <w:spacing w:after="240"/>
        <w:ind w:firstLine="720"/>
        <w:jc w:val="both"/>
        <w:rPr>
          <w:rFonts w:cs="Arial"/>
          <w:i/>
          <w:sz w:val="24"/>
        </w:rPr>
      </w:pPr>
      <w:r w:rsidRPr="00525490">
        <w:rPr>
          <w:rFonts w:cs="Arial"/>
          <w:i/>
          <w:sz w:val="24"/>
        </w:rPr>
        <w:t xml:space="preserve">Discipline </w:t>
      </w:r>
    </w:p>
    <w:p w14:paraId="56722675" w14:textId="3148EB89" w:rsidR="00525490" w:rsidRPr="00525490" w:rsidRDefault="00525490" w:rsidP="00720711">
      <w:pPr>
        <w:widowControl w:val="0"/>
        <w:spacing w:after="240"/>
        <w:jc w:val="both"/>
        <w:rPr>
          <w:rFonts w:cs="Arial"/>
          <w:sz w:val="24"/>
        </w:rPr>
      </w:pPr>
      <w:r w:rsidRPr="00525490">
        <w:rPr>
          <w:rFonts w:cs="Arial"/>
          <w:sz w:val="24"/>
        </w:rPr>
        <w:t xml:space="preserve">If the </w:t>
      </w:r>
      <w:r>
        <w:rPr>
          <w:rFonts w:cs="Arial"/>
          <w:sz w:val="24"/>
        </w:rPr>
        <w:t>Agency</w:t>
      </w:r>
      <w:r w:rsidRPr="00525490">
        <w:rPr>
          <w:rFonts w:cs="Arial"/>
          <w:sz w:val="24"/>
        </w:rPr>
        <w:t xml:space="preserve"> determines that this policy has been violated, inclu</w:t>
      </w:r>
      <w:r w:rsidR="00C876B0">
        <w:rPr>
          <w:rFonts w:cs="Arial"/>
          <w:sz w:val="24"/>
        </w:rPr>
        <w:t>ding in the event that a supervisor, building principal or other administrator</w:t>
      </w:r>
      <w:r w:rsidRPr="00525490">
        <w:rPr>
          <w:rFonts w:cs="Arial"/>
          <w:sz w:val="24"/>
        </w:rPr>
        <w:t xml:space="preserve"> knowingly allows the policy to be violated without reporting it, prompt remedial action will be taken, commensurate with the severity of the offense, up to and including termination of employment. Appropriate action will also be taken to deter </w:t>
      </w:r>
      <w:r w:rsidR="00073CB6">
        <w:rPr>
          <w:rFonts w:cs="Arial"/>
          <w:sz w:val="24"/>
        </w:rPr>
        <w:t>any such conduct in the future.</w:t>
      </w:r>
    </w:p>
    <w:p w14:paraId="743A3AD4" w14:textId="77777777" w:rsidR="00525490" w:rsidRPr="00525490" w:rsidRDefault="00525490" w:rsidP="00720711">
      <w:pPr>
        <w:widowControl w:val="0"/>
        <w:spacing w:after="240"/>
        <w:ind w:firstLine="720"/>
        <w:jc w:val="both"/>
        <w:rPr>
          <w:rFonts w:cs="Arial"/>
          <w:sz w:val="24"/>
        </w:rPr>
      </w:pPr>
      <w:r w:rsidRPr="00525490">
        <w:rPr>
          <w:rFonts w:cs="Arial"/>
          <w:i/>
          <w:sz w:val="24"/>
        </w:rPr>
        <w:t>Good Faith Reporting</w:t>
      </w:r>
      <w:r w:rsidRPr="00525490">
        <w:rPr>
          <w:rFonts w:cs="Arial"/>
          <w:sz w:val="24"/>
        </w:rPr>
        <w:t xml:space="preserve"> </w:t>
      </w:r>
    </w:p>
    <w:p w14:paraId="78EFDF88" w14:textId="03DFD352" w:rsidR="00525490" w:rsidRDefault="00525490" w:rsidP="00720711">
      <w:pPr>
        <w:widowControl w:val="0"/>
        <w:spacing w:after="240"/>
        <w:jc w:val="both"/>
        <w:rPr>
          <w:rFonts w:cs="Arial"/>
          <w:sz w:val="24"/>
        </w:rPr>
      </w:pPr>
      <w:r w:rsidRPr="00525490">
        <w:rPr>
          <w:rFonts w:cs="Arial"/>
          <w:sz w:val="24"/>
        </w:rPr>
        <w:t xml:space="preserve">The initiation of a good faith complaint of discrimination, harassment or retaliation </w:t>
      </w:r>
      <w:r w:rsidR="00640488" w:rsidRPr="00606BC4">
        <w:rPr>
          <w:rFonts w:cs="Arial"/>
          <w:sz w:val="24"/>
        </w:rPr>
        <w:t>in good faith</w:t>
      </w:r>
      <w:r w:rsidR="00640488">
        <w:rPr>
          <w:rFonts w:cs="Arial"/>
          <w:sz w:val="24"/>
        </w:rPr>
        <w:t xml:space="preserve"> </w:t>
      </w:r>
      <w:r w:rsidRPr="00525490">
        <w:rPr>
          <w:rFonts w:cs="Arial"/>
          <w:sz w:val="24"/>
        </w:rPr>
        <w:t>will not be grounds for disciplinary action.  Any individual who makes a complaint that is demonstrated to be intentionally false may be subject to discipline, u</w:t>
      </w:r>
      <w:r w:rsidR="00073CB6">
        <w:rPr>
          <w:rFonts w:cs="Arial"/>
          <w:sz w:val="24"/>
        </w:rPr>
        <w:t>p to and including termination.</w:t>
      </w:r>
    </w:p>
    <w:p w14:paraId="6271E368" w14:textId="3F05B6C7" w:rsidR="005421CB" w:rsidRPr="005421CB" w:rsidRDefault="005421CB" w:rsidP="005421CB">
      <w:pPr>
        <w:widowControl w:val="0"/>
        <w:spacing w:after="240"/>
        <w:ind w:firstLine="720"/>
        <w:jc w:val="both"/>
        <w:rPr>
          <w:rFonts w:cs="Arial"/>
          <w:i/>
          <w:sz w:val="24"/>
        </w:rPr>
      </w:pPr>
      <w:r w:rsidRPr="005421CB">
        <w:rPr>
          <w:rFonts w:cs="Arial"/>
          <w:i/>
          <w:sz w:val="24"/>
        </w:rPr>
        <w:t>Notice</w:t>
      </w:r>
    </w:p>
    <w:p w14:paraId="5941BC7E" w14:textId="45C207D4" w:rsidR="005421CB" w:rsidRDefault="00C029D0" w:rsidP="00720711">
      <w:pPr>
        <w:widowControl w:val="0"/>
        <w:spacing w:after="240"/>
        <w:jc w:val="both"/>
        <w:rPr>
          <w:rFonts w:cs="Arial"/>
          <w:sz w:val="24"/>
        </w:rPr>
      </w:pPr>
      <w:r>
        <w:rPr>
          <w:rFonts w:cs="Arial"/>
          <w:sz w:val="24"/>
        </w:rPr>
        <w:t>The Agency</w:t>
      </w:r>
      <w:r w:rsidR="005421CB">
        <w:rPr>
          <w:rFonts w:cs="Arial"/>
          <w:sz w:val="24"/>
        </w:rPr>
        <w:t xml:space="preserve"> will provide this policy to all employees in writing.  </w:t>
      </w:r>
      <w:r>
        <w:rPr>
          <w:rFonts w:cs="Arial"/>
          <w:sz w:val="24"/>
        </w:rPr>
        <w:t>The Agency</w:t>
      </w:r>
      <w:r w:rsidR="005421CB">
        <w:rPr>
          <w:rFonts w:cs="Arial"/>
          <w:sz w:val="24"/>
        </w:rPr>
        <w:t xml:space="preserve"> will post this policy prominently throughout the Agency to the extent practicable.</w:t>
      </w:r>
    </w:p>
    <w:p w14:paraId="22CB06CF" w14:textId="2F5AF258" w:rsidR="005421CB" w:rsidRDefault="005421CB" w:rsidP="00720711">
      <w:pPr>
        <w:widowControl w:val="0"/>
        <w:spacing w:after="240"/>
        <w:jc w:val="both"/>
        <w:rPr>
          <w:rFonts w:cs="Arial"/>
          <w:sz w:val="24"/>
        </w:rPr>
      </w:pPr>
      <w:r>
        <w:rPr>
          <w:rFonts w:cs="Arial"/>
          <w:sz w:val="24"/>
        </w:rPr>
        <w:t xml:space="preserve">At the time of hiring and at every annual </w:t>
      </w:r>
      <w:r w:rsidR="00640488" w:rsidRPr="00606BC4">
        <w:rPr>
          <w:rFonts w:cs="Arial"/>
          <w:sz w:val="24"/>
        </w:rPr>
        <w:t>discrimination,</w:t>
      </w:r>
      <w:r w:rsidR="00640488">
        <w:rPr>
          <w:rFonts w:cs="Arial"/>
          <w:sz w:val="24"/>
        </w:rPr>
        <w:t xml:space="preserve"> </w:t>
      </w:r>
      <w:r>
        <w:rPr>
          <w:rFonts w:cs="Arial"/>
          <w:sz w:val="24"/>
        </w:rPr>
        <w:t>harassment</w:t>
      </w:r>
      <w:r w:rsidR="00640488" w:rsidRPr="00606BC4">
        <w:rPr>
          <w:rFonts w:cs="Arial"/>
          <w:sz w:val="24"/>
        </w:rPr>
        <w:t>, and retaliation</w:t>
      </w:r>
      <w:r>
        <w:rPr>
          <w:rFonts w:cs="Arial"/>
          <w:sz w:val="24"/>
        </w:rPr>
        <w:t xml:space="preserve"> prevention training program, </w:t>
      </w:r>
      <w:r w:rsidR="00C029D0">
        <w:rPr>
          <w:rFonts w:cs="Arial"/>
          <w:sz w:val="24"/>
        </w:rPr>
        <w:t>the Agency</w:t>
      </w:r>
      <w:r>
        <w:rPr>
          <w:rFonts w:cs="Arial"/>
          <w:sz w:val="24"/>
        </w:rPr>
        <w:t xml:space="preserve"> will provide each employee a notice containing this policy and the information presented at </w:t>
      </w:r>
      <w:r w:rsidR="00C029D0">
        <w:rPr>
          <w:rFonts w:cs="Arial"/>
          <w:sz w:val="24"/>
        </w:rPr>
        <w:t xml:space="preserve">the Agency’s </w:t>
      </w:r>
      <w:r>
        <w:rPr>
          <w:rFonts w:cs="Arial"/>
          <w:sz w:val="24"/>
        </w:rPr>
        <w:t>prevention training program.</w:t>
      </w:r>
    </w:p>
    <w:p w14:paraId="3DF98F19" w14:textId="079604F9" w:rsidR="005421CB" w:rsidRDefault="005421CB" w:rsidP="00720711">
      <w:pPr>
        <w:widowControl w:val="0"/>
        <w:spacing w:after="240"/>
        <w:jc w:val="both"/>
        <w:rPr>
          <w:rFonts w:cs="Arial"/>
          <w:sz w:val="24"/>
        </w:rPr>
      </w:pPr>
      <w:r>
        <w:rPr>
          <w:rFonts w:cs="Arial"/>
          <w:sz w:val="24"/>
        </w:rPr>
        <w:t>This notice will be provided in English and in the language identified by the employee as the employee’s primary language, provided that the New York State Department of Labor Commissioner has published a template of the model materials in that language.</w:t>
      </w:r>
    </w:p>
    <w:p w14:paraId="2149746A" w14:textId="13CAB086" w:rsidR="005421CB" w:rsidRPr="00525490" w:rsidRDefault="005421CB" w:rsidP="00720711">
      <w:pPr>
        <w:widowControl w:val="0"/>
        <w:spacing w:after="240"/>
        <w:jc w:val="both"/>
        <w:rPr>
          <w:rFonts w:cs="Arial"/>
          <w:sz w:val="24"/>
        </w:rPr>
      </w:pPr>
      <w:r>
        <w:rPr>
          <w:rFonts w:cs="Arial"/>
          <w:sz w:val="24"/>
        </w:rPr>
        <w:t>The notice will be delivered in writing, either in print or digitally.  The notice will either link to or include, as an attachment or printed copy, the policy and training materials.</w:t>
      </w:r>
    </w:p>
    <w:p w14:paraId="677FDF98" w14:textId="44373C34" w:rsidR="001865FE" w:rsidRPr="00383693" w:rsidRDefault="001865FE" w:rsidP="004A205E">
      <w:pPr>
        <w:widowControl w:val="0"/>
        <w:spacing w:after="240"/>
        <w:ind w:firstLine="720"/>
        <w:jc w:val="both"/>
        <w:rPr>
          <w:i/>
          <w:color w:val="000000"/>
          <w:sz w:val="24"/>
        </w:rPr>
      </w:pPr>
      <w:r w:rsidRPr="00383693">
        <w:rPr>
          <w:i/>
          <w:color w:val="000000"/>
          <w:sz w:val="24"/>
        </w:rPr>
        <w:t>Legal Protections and External Remedies</w:t>
      </w:r>
    </w:p>
    <w:p w14:paraId="361601F1" w14:textId="15C8F01B" w:rsidR="001865FE" w:rsidRPr="004A205E" w:rsidRDefault="001865FE" w:rsidP="004A205E">
      <w:pPr>
        <w:jc w:val="both"/>
        <w:rPr>
          <w:color w:val="000000"/>
          <w:sz w:val="24"/>
        </w:rPr>
      </w:pPr>
      <w:r w:rsidRPr="004A205E">
        <w:rPr>
          <w:color w:val="000000"/>
          <w:sz w:val="24"/>
        </w:rPr>
        <w:t xml:space="preserve">Aside from the </w:t>
      </w:r>
      <w:r w:rsidR="0058605D" w:rsidRPr="004A205E">
        <w:rPr>
          <w:color w:val="000000"/>
          <w:sz w:val="24"/>
        </w:rPr>
        <w:t>Agency</w:t>
      </w:r>
      <w:r w:rsidRPr="004A205E">
        <w:rPr>
          <w:color w:val="000000"/>
          <w:sz w:val="24"/>
        </w:rPr>
        <w:t xml:space="preserve">'s internal process, individuals may also choose to pursue legal remedies with the following governmental entities. </w:t>
      </w:r>
      <w:r w:rsidR="0058605D" w:rsidRPr="004A205E">
        <w:rPr>
          <w:color w:val="000000"/>
          <w:sz w:val="24"/>
        </w:rPr>
        <w:t xml:space="preserve"> </w:t>
      </w:r>
      <w:r w:rsidRPr="004A205E">
        <w:rPr>
          <w:color w:val="000000"/>
          <w:sz w:val="24"/>
        </w:rPr>
        <w:t>While a private attorney is not required to file a complaint with a governmental agency, an individual may seek the legal advice of an attorney.</w:t>
      </w:r>
    </w:p>
    <w:p w14:paraId="055545EF" w14:textId="77777777" w:rsidR="001865FE" w:rsidRPr="004A205E" w:rsidRDefault="001865FE" w:rsidP="001865FE">
      <w:pPr>
        <w:spacing w:line="240" w:lineRule="exact"/>
        <w:jc w:val="both"/>
        <w:rPr>
          <w:color w:val="000000"/>
          <w:sz w:val="24"/>
        </w:rPr>
      </w:pPr>
    </w:p>
    <w:p w14:paraId="33688AF6" w14:textId="77777777" w:rsidR="001865FE" w:rsidRPr="004A205E" w:rsidRDefault="001865FE" w:rsidP="00D56BF6">
      <w:pPr>
        <w:spacing w:line="240" w:lineRule="exact"/>
        <w:jc w:val="both"/>
        <w:rPr>
          <w:color w:val="000000"/>
          <w:sz w:val="24"/>
        </w:rPr>
      </w:pPr>
      <w:r w:rsidRPr="004A205E">
        <w:rPr>
          <w:color w:val="000000"/>
          <w:sz w:val="24"/>
        </w:rPr>
        <w:t xml:space="preserve">In addition to those outlined below, individuals may have additional legal protections. </w:t>
      </w:r>
    </w:p>
    <w:p w14:paraId="4CA7CE7E" w14:textId="77777777" w:rsidR="001865FE" w:rsidRPr="004A205E" w:rsidRDefault="001865FE" w:rsidP="001865FE">
      <w:pPr>
        <w:spacing w:line="240" w:lineRule="exact"/>
        <w:jc w:val="both"/>
        <w:rPr>
          <w:color w:val="000000"/>
          <w:sz w:val="24"/>
        </w:rPr>
      </w:pPr>
    </w:p>
    <w:p w14:paraId="3C044734" w14:textId="77777777" w:rsidR="000F5314" w:rsidRDefault="000F5314" w:rsidP="001865FE">
      <w:pPr>
        <w:spacing w:line="240" w:lineRule="exact"/>
        <w:jc w:val="both"/>
        <w:rPr>
          <w:color w:val="000000"/>
          <w:sz w:val="24"/>
          <w:u w:val="single"/>
        </w:rPr>
      </w:pPr>
    </w:p>
    <w:p w14:paraId="408C9761" w14:textId="77777777" w:rsidR="000F5314" w:rsidRDefault="000F5314" w:rsidP="001865FE">
      <w:pPr>
        <w:spacing w:line="240" w:lineRule="exact"/>
        <w:jc w:val="both"/>
        <w:rPr>
          <w:color w:val="000000"/>
          <w:sz w:val="24"/>
          <w:u w:val="single"/>
        </w:rPr>
      </w:pPr>
    </w:p>
    <w:p w14:paraId="64D1B4A3" w14:textId="77777777" w:rsidR="000F5314" w:rsidRDefault="000F5314" w:rsidP="001865FE">
      <w:pPr>
        <w:spacing w:line="240" w:lineRule="exact"/>
        <w:jc w:val="both"/>
        <w:rPr>
          <w:color w:val="000000"/>
          <w:sz w:val="24"/>
          <w:u w:val="single"/>
        </w:rPr>
      </w:pPr>
    </w:p>
    <w:p w14:paraId="5CA98A6B" w14:textId="79F27078" w:rsidR="001865FE" w:rsidRPr="004A205E" w:rsidRDefault="001865FE" w:rsidP="001865FE">
      <w:pPr>
        <w:spacing w:line="240" w:lineRule="exact"/>
        <w:jc w:val="both"/>
        <w:rPr>
          <w:color w:val="000000"/>
          <w:sz w:val="24"/>
          <w:u w:val="single"/>
        </w:rPr>
      </w:pPr>
      <w:r w:rsidRPr="004A205E">
        <w:rPr>
          <w:color w:val="000000"/>
          <w:sz w:val="24"/>
          <w:u w:val="single"/>
        </w:rPr>
        <w:lastRenderedPageBreak/>
        <w:t>State Human Rights Law (HRL)</w:t>
      </w:r>
    </w:p>
    <w:p w14:paraId="6F30121F" w14:textId="77777777" w:rsidR="001865FE" w:rsidRPr="004A205E" w:rsidRDefault="001865FE" w:rsidP="001865FE">
      <w:pPr>
        <w:spacing w:line="240" w:lineRule="exact"/>
        <w:jc w:val="both"/>
        <w:rPr>
          <w:color w:val="000000"/>
          <w:sz w:val="24"/>
        </w:rPr>
      </w:pPr>
    </w:p>
    <w:p w14:paraId="223414A4" w14:textId="2692BD6D" w:rsidR="001865FE" w:rsidRPr="004A205E" w:rsidRDefault="001865FE" w:rsidP="004A205E">
      <w:pPr>
        <w:jc w:val="both"/>
        <w:rPr>
          <w:color w:val="000000"/>
          <w:sz w:val="24"/>
        </w:rPr>
      </w:pPr>
      <w:r w:rsidRPr="004A205E">
        <w:rPr>
          <w:color w:val="000000"/>
          <w:sz w:val="24"/>
        </w:rPr>
        <w:t xml:space="preserve">The Human Rights Law (HRL), codified as N.Y. Executive Law, </w:t>
      </w:r>
      <w:r w:rsidR="00073CB6" w:rsidRPr="004A205E">
        <w:rPr>
          <w:color w:val="000000"/>
          <w:sz w:val="24"/>
        </w:rPr>
        <w:t>A</w:t>
      </w:r>
      <w:r w:rsidRPr="004A205E">
        <w:rPr>
          <w:color w:val="000000"/>
          <w:sz w:val="24"/>
        </w:rPr>
        <w:t>rt</w:t>
      </w:r>
      <w:r w:rsidR="00073CB6" w:rsidRPr="004A205E">
        <w:rPr>
          <w:color w:val="000000"/>
          <w:sz w:val="24"/>
        </w:rPr>
        <w:t>icle</w:t>
      </w:r>
      <w:r w:rsidRPr="004A205E">
        <w:rPr>
          <w:color w:val="000000"/>
          <w:sz w:val="24"/>
        </w:rPr>
        <w:t xml:space="preserve"> 15, </w:t>
      </w:r>
      <w:r w:rsidR="00073CB6" w:rsidRPr="004A205E">
        <w:rPr>
          <w:color w:val="000000"/>
          <w:sz w:val="24"/>
        </w:rPr>
        <w:t>Section</w:t>
      </w:r>
      <w:r w:rsidRPr="004A205E">
        <w:rPr>
          <w:color w:val="000000"/>
          <w:sz w:val="24"/>
        </w:rPr>
        <w:t xml:space="preserve"> 290 et seq., applies to all employers in New York State, and protects covered persons, regardless of immigration status. </w:t>
      </w:r>
      <w:r w:rsidR="004B4483" w:rsidRPr="004A205E">
        <w:rPr>
          <w:color w:val="000000"/>
          <w:sz w:val="24"/>
        </w:rPr>
        <w:t xml:space="preserve"> </w:t>
      </w:r>
      <w:r w:rsidRPr="004A205E">
        <w:rPr>
          <w:color w:val="000000"/>
          <w:sz w:val="24"/>
        </w:rPr>
        <w:t>A complaint alleging violation of the Human Rights Law may be filed either with the Division of Human Rights (DHR) or in New York State Supreme Court.</w:t>
      </w:r>
    </w:p>
    <w:p w14:paraId="4308A847" w14:textId="77777777" w:rsidR="001865FE" w:rsidRPr="004A205E" w:rsidRDefault="001865FE" w:rsidP="004A205E">
      <w:pPr>
        <w:jc w:val="both"/>
        <w:rPr>
          <w:color w:val="000000"/>
          <w:sz w:val="24"/>
        </w:rPr>
      </w:pPr>
    </w:p>
    <w:p w14:paraId="50372F36" w14:textId="3D98E489" w:rsidR="001865FE" w:rsidRPr="004A205E" w:rsidRDefault="001865FE" w:rsidP="004A205E">
      <w:pPr>
        <w:jc w:val="both"/>
        <w:rPr>
          <w:color w:val="000000"/>
          <w:sz w:val="24"/>
        </w:rPr>
      </w:pPr>
      <w:r w:rsidRPr="004A205E">
        <w:rPr>
          <w:color w:val="000000"/>
          <w:sz w:val="24"/>
        </w:rPr>
        <w:t>Complaints with DHR may be filed any time within one</w:t>
      </w:r>
      <w:r w:rsidR="004B4483" w:rsidRPr="004A205E">
        <w:rPr>
          <w:color w:val="000000"/>
          <w:sz w:val="24"/>
        </w:rPr>
        <w:t xml:space="preserve"> (1)</w:t>
      </w:r>
      <w:r w:rsidRPr="004A205E">
        <w:rPr>
          <w:color w:val="000000"/>
          <w:sz w:val="24"/>
        </w:rPr>
        <w:t xml:space="preserve"> year </w:t>
      </w:r>
      <w:r w:rsidRPr="00606BC4">
        <w:rPr>
          <w:rFonts w:eastAsia="Calibri"/>
          <w:sz w:val="24"/>
        </w:rPr>
        <w:t xml:space="preserve">(three </w:t>
      </w:r>
      <w:r w:rsidR="004B4483" w:rsidRPr="00606BC4">
        <w:rPr>
          <w:rFonts w:eastAsia="Calibri"/>
          <w:sz w:val="24"/>
        </w:rPr>
        <w:t xml:space="preserve">(3) </w:t>
      </w:r>
      <w:r w:rsidRPr="00606BC4">
        <w:rPr>
          <w:rFonts w:eastAsia="Calibri"/>
          <w:sz w:val="24"/>
        </w:rPr>
        <w:t>years beginning August 12, 2020)</w:t>
      </w:r>
      <w:r w:rsidRPr="004A205E">
        <w:rPr>
          <w:rFonts w:eastAsia="Calibri"/>
          <w:color w:val="0070C0"/>
          <w:sz w:val="24"/>
        </w:rPr>
        <w:t xml:space="preserve"> </w:t>
      </w:r>
      <w:r w:rsidRPr="004A205E">
        <w:rPr>
          <w:color w:val="000000"/>
          <w:sz w:val="24"/>
        </w:rPr>
        <w:t xml:space="preserve">of the harassment. </w:t>
      </w:r>
      <w:r w:rsidR="004B4483" w:rsidRPr="004A205E">
        <w:rPr>
          <w:color w:val="000000"/>
          <w:sz w:val="24"/>
        </w:rPr>
        <w:t xml:space="preserve"> </w:t>
      </w:r>
      <w:r w:rsidRPr="004A205E">
        <w:rPr>
          <w:color w:val="000000"/>
          <w:sz w:val="24"/>
        </w:rPr>
        <w:t xml:space="preserve">If an individual </w:t>
      </w:r>
      <w:r w:rsidR="00CE11D8" w:rsidRPr="00606BC4">
        <w:rPr>
          <w:color w:val="000000"/>
          <w:sz w:val="24"/>
        </w:rPr>
        <w:t>does</w:t>
      </w:r>
      <w:r w:rsidR="00CE11D8">
        <w:rPr>
          <w:color w:val="000000"/>
          <w:sz w:val="24"/>
        </w:rPr>
        <w:t xml:space="preserve"> </w:t>
      </w:r>
      <w:r w:rsidRPr="004A205E">
        <w:rPr>
          <w:color w:val="000000"/>
          <w:sz w:val="24"/>
        </w:rPr>
        <w:t xml:space="preserve">not file with DHR, </w:t>
      </w:r>
      <w:r w:rsidR="00CE11D8" w:rsidRPr="00606BC4">
        <w:rPr>
          <w:color w:val="000000"/>
          <w:sz w:val="24"/>
        </w:rPr>
        <w:t>he or she</w:t>
      </w:r>
      <w:r w:rsidR="00CE11D8">
        <w:rPr>
          <w:color w:val="000000"/>
          <w:sz w:val="24"/>
        </w:rPr>
        <w:t xml:space="preserve"> </w:t>
      </w:r>
      <w:r w:rsidRPr="004A205E">
        <w:rPr>
          <w:color w:val="000000"/>
          <w:sz w:val="24"/>
        </w:rPr>
        <w:t xml:space="preserve">can sue directly in </w:t>
      </w:r>
      <w:r w:rsidR="001B787F" w:rsidRPr="004A205E">
        <w:rPr>
          <w:color w:val="000000"/>
          <w:sz w:val="24"/>
        </w:rPr>
        <w:t>S</w:t>
      </w:r>
      <w:r w:rsidRPr="004A205E">
        <w:rPr>
          <w:color w:val="000000"/>
          <w:sz w:val="24"/>
        </w:rPr>
        <w:t>tate court under the HRL, within three</w:t>
      </w:r>
      <w:r w:rsidR="004B4483" w:rsidRPr="004A205E">
        <w:rPr>
          <w:color w:val="000000"/>
          <w:sz w:val="24"/>
        </w:rPr>
        <w:t xml:space="preserve"> (3)</w:t>
      </w:r>
      <w:r w:rsidRPr="004A205E">
        <w:rPr>
          <w:color w:val="000000"/>
          <w:sz w:val="24"/>
        </w:rPr>
        <w:t xml:space="preserve"> years of the alleged harassment. </w:t>
      </w:r>
      <w:r w:rsidR="004B4483" w:rsidRPr="004A205E">
        <w:rPr>
          <w:color w:val="000000"/>
          <w:sz w:val="24"/>
        </w:rPr>
        <w:t xml:space="preserve"> </w:t>
      </w:r>
      <w:r w:rsidRPr="004A205E">
        <w:rPr>
          <w:color w:val="000000"/>
          <w:sz w:val="24"/>
        </w:rPr>
        <w:t xml:space="preserve">An individual may not file with DHR if </w:t>
      </w:r>
      <w:r w:rsidR="00CE11D8" w:rsidRPr="00606BC4">
        <w:rPr>
          <w:color w:val="000000"/>
          <w:sz w:val="24"/>
        </w:rPr>
        <w:t>he or she has</w:t>
      </w:r>
      <w:r w:rsidR="00CE11D8">
        <w:rPr>
          <w:color w:val="000000"/>
          <w:sz w:val="24"/>
        </w:rPr>
        <w:t xml:space="preserve"> </w:t>
      </w:r>
      <w:r w:rsidRPr="004A205E">
        <w:rPr>
          <w:color w:val="000000"/>
          <w:sz w:val="24"/>
        </w:rPr>
        <w:t>al</w:t>
      </w:r>
      <w:r w:rsidR="001B787F" w:rsidRPr="004A205E">
        <w:rPr>
          <w:color w:val="000000"/>
          <w:sz w:val="24"/>
        </w:rPr>
        <w:t>ready filed a HRL complaint in S</w:t>
      </w:r>
      <w:r w:rsidRPr="004A205E">
        <w:rPr>
          <w:color w:val="000000"/>
          <w:sz w:val="24"/>
        </w:rPr>
        <w:t>tate court.</w:t>
      </w:r>
    </w:p>
    <w:p w14:paraId="701B0E45" w14:textId="77777777" w:rsidR="001865FE" w:rsidRPr="004A205E" w:rsidRDefault="001865FE" w:rsidP="004A205E">
      <w:pPr>
        <w:jc w:val="both"/>
        <w:rPr>
          <w:color w:val="000000"/>
          <w:sz w:val="24"/>
        </w:rPr>
      </w:pPr>
    </w:p>
    <w:p w14:paraId="58FF5D3C" w14:textId="2093CE5B" w:rsidR="001865FE" w:rsidRPr="004A205E" w:rsidRDefault="001865FE" w:rsidP="004A205E">
      <w:pPr>
        <w:jc w:val="both"/>
        <w:rPr>
          <w:color w:val="000000"/>
          <w:sz w:val="24"/>
        </w:rPr>
      </w:pPr>
      <w:r w:rsidRPr="004A205E">
        <w:rPr>
          <w:color w:val="000000"/>
          <w:sz w:val="24"/>
        </w:rPr>
        <w:t xml:space="preserve">Complaining internally to the </w:t>
      </w:r>
      <w:r w:rsidR="004B4483" w:rsidRPr="004A205E">
        <w:rPr>
          <w:color w:val="000000"/>
          <w:sz w:val="24"/>
        </w:rPr>
        <w:t>Agency</w:t>
      </w:r>
      <w:r w:rsidRPr="004A205E">
        <w:rPr>
          <w:color w:val="000000"/>
          <w:sz w:val="24"/>
        </w:rPr>
        <w:t xml:space="preserve"> does not extend </w:t>
      </w:r>
      <w:r w:rsidR="00CE11D8" w:rsidRPr="000F5314">
        <w:rPr>
          <w:color w:val="000000"/>
          <w:sz w:val="24"/>
        </w:rPr>
        <w:t>an employee’s</w:t>
      </w:r>
      <w:r w:rsidR="00CE11D8">
        <w:rPr>
          <w:color w:val="000000"/>
          <w:sz w:val="24"/>
        </w:rPr>
        <w:t xml:space="preserve"> </w:t>
      </w:r>
      <w:r w:rsidRPr="004A205E">
        <w:rPr>
          <w:color w:val="000000"/>
          <w:sz w:val="24"/>
        </w:rPr>
        <w:t>time to file with DHR or in court. The one</w:t>
      </w:r>
      <w:r w:rsidR="004B4483" w:rsidRPr="004A205E">
        <w:rPr>
          <w:color w:val="000000"/>
          <w:sz w:val="24"/>
        </w:rPr>
        <w:t xml:space="preserve"> (1)</w:t>
      </w:r>
      <w:r w:rsidRPr="004A205E">
        <w:rPr>
          <w:color w:val="000000"/>
          <w:sz w:val="24"/>
        </w:rPr>
        <w:t xml:space="preserve"> year or three </w:t>
      </w:r>
      <w:r w:rsidR="004B4483" w:rsidRPr="004A205E">
        <w:rPr>
          <w:color w:val="000000"/>
          <w:sz w:val="24"/>
        </w:rPr>
        <w:t xml:space="preserve">(3) </w:t>
      </w:r>
      <w:r w:rsidRPr="004A205E">
        <w:rPr>
          <w:color w:val="000000"/>
          <w:sz w:val="24"/>
        </w:rPr>
        <w:t>years is counted from the date of the most recent incident of harassment.</w:t>
      </w:r>
    </w:p>
    <w:p w14:paraId="57A89D7D" w14:textId="77777777" w:rsidR="001865FE" w:rsidRPr="004A205E" w:rsidRDefault="001865FE" w:rsidP="004A205E">
      <w:pPr>
        <w:jc w:val="both"/>
        <w:rPr>
          <w:color w:val="000000"/>
          <w:sz w:val="24"/>
        </w:rPr>
      </w:pPr>
    </w:p>
    <w:p w14:paraId="7AAEA451" w14:textId="77777777" w:rsidR="001865FE" w:rsidRPr="004A205E" w:rsidRDefault="001865FE" w:rsidP="004A205E">
      <w:pPr>
        <w:jc w:val="both"/>
        <w:rPr>
          <w:color w:val="000000"/>
          <w:sz w:val="24"/>
        </w:rPr>
      </w:pPr>
      <w:r w:rsidRPr="004A205E">
        <w:rPr>
          <w:color w:val="000000"/>
          <w:sz w:val="24"/>
        </w:rPr>
        <w:t>Individuals do not need an attorney to file a complaint with DHR, and there is no cost to file with DHR.</w:t>
      </w:r>
    </w:p>
    <w:p w14:paraId="18E2A473" w14:textId="77777777" w:rsidR="001865FE" w:rsidRPr="004A205E" w:rsidRDefault="001865FE" w:rsidP="004A205E">
      <w:pPr>
        <w:jc w:val="both"/>
        <w:rPr>
          <w:color w:val="000000"/>
          <w:sz w:val="24"/>
        </w:rPr>
      </w:pPr>
    </w:p>
    <w:p w14:paraId="49CB8E58" w14:textId="606D58F3" w:rsidR="001865FE" w:rsidRPr="004A205E" w:rsidRDefault="001865FE" w:rsidP="004A205E">
      <w:pPr>
        <w:jc w:val="both"/>
        <w:rPr>
          <w:color w:val="000000"/>
          <w:sz w:val="24"/>
        </w:rPr>
      </w:pPr>
      <w:r w:rsidRPr="004A205E">
        <w:rPr>
          <w:color w:val="000000"/>
          <w:sz w:val="24"/>
        </w:rPr>
        <w:t xml:space="preserve">DHR will investigate </w:t>
      </w:r>
      <w:r w:rsidR="00CE11D8" w:rsidRPr="000F5314">
        <w:rPr>
          <w:color w:val="000000"/>
          <w:sz w:val="24"/>
        </w:rPr>
        <w:t>an employee’s</w:t>
      </w:r>
      <w:r w:rsidR="00CE11D8">
        <w:rPr>
          <w:color w:val="000000"/>
          <w:sz w:val="24"/>
        </w:rPr>
        <w:t xml:space="preserve"> </w:t>
      </w:r>
      <w:r w:rsidRPr="004A205E">
        <w:rPr>
          <w:color w:val="000000"/>
          <w:sz w:val="24"/>
        </w:rPr>
        <w:t xml:space="preserve">complaint and determine whether there is probable cause to believe that harassment has occurred. </w:t>
      </w:r>
      <w:r w:rsidR="004B4483" w:rsidRPr="004A205E">
        <w:rPr>
          <w:color w:val="000000"/>
          <w:sz w:val="24"/>
        </w:rPr>
        <w:t xml:space="preserve"> </w:t>
      </w:r>
      <w:r w:rsidRPr="004A205E">
        <w:rPr>
          <w:color w:val="000000"/>
          <w:sz w:val="24"/>
        </w:rPr>
        <w:t xml:space="preserve">Probable cause cases are forwarded to a public hearing before an administrative law judge. </w:t>
      </w:r>
      <w:r w:rsidR="004B4483" w:rsidRPr="004A205E">
        <w:rPr>
          <w:color w:val="000000"/>
          <w:sz w:val="24"/>
        </w:rPr>
        <w:t xml:space="preserve"> </w:t>
      </w:r>
      <w:r w:rsidRPr="004A205E">
        <w:rPr>
          <w:color w:val="000000"/>
          <w:sz w:val="24"/>
        </w:rPr>
        <w:t xml:space="preserve">If harassment is found after a hearing, DHR has the power to award relief, which varies but may include requiring </w:t>
      </w:r>
      <w:r w:rsidR="00CE11D8" w:rsidRPr="000F5314">
        <w:rPr>
          <w:color w:val="000000"/>
          <w:sz w:val="24"/>
        </w:rPr>
        <w:t>the</w:t>
      </w:r>
      <w:r w:rsidR="00CE11D8">
        <w:rPr>
          <w:color w:val="000000"/>
          <w:sz w:val="24"/>
        </w:rPr>
        <w:t xml:space="preserve"> </w:t>
      </w:r>
      <w:r w:rsidRPr="004A205E">
        <w:rPr>
          <w:color w:val="000000"/>
          <w:sz w:val="24"/>
        </w:rPr>
        <w:t>employer to take action to stop the harassment, or redress the damage caused, including paying of monetary damages, attorney's fees and civil fines.</w:t>
      </w:r>
    </w:p>
    <w:p w14:paraId="21209326" w14:textId="77777777" w:rsidR="001865FE" w:rsidRPr="004A205E" w:rsidRDefault="001865FE" w:rsidP="004A205E">
      <w:pPr>
        <w:jc w:val="both"/>
        <w:rPr>
          <w:color w:val="000000"/>
          <w:sz w:val="24"/>
        </w:rPr>
      </w:pPr>
    </w:p>
    <w:p w14:paraId="79B9CFB9" w14:textId="77777777" w:rsidR="001865FE" w:rsidRPr="004A205E" w:rsidRDefault="001865FE" w:rsidP="004A205E">
      <w:pPr>
        <w:jc w:val="both"/>
        <w:rPr>
          <w:color w:val="000000"/>
          <w:sz w:val="24"/>
        </w:rPr>
      </w:pPr>
      <w:r w:rsidRPr="004A205E">
        <w:rPr>
          <w:color w:val="000000"/>
          <w:sz w:val="24"/>
        </w:rPr>
        <w:t xml:space="preserve">DHR's main office contact information is: NYS Division of Human Rights, One Fordham Plaza, Fourth Floor, Bronx, New York 10458. Individuals may call (718) 741-8400 or visit: </w:t>
      </w:r>
      <w:r w:rsidRPr="004A205E">
        <w:rPr>
          <w:i/>
          <w:color w:val="000000"/>
          <w:sz w:val="24"/>
        </w:rPr>
        <w:t>www.dhr.ny.gov</w:t>
      </w:r>
      <w:r w:rsidRPr="004A205E">
        <w:rPr>
          <w:color w:val="000000"/>
          <w:sz w:val="24"/>
        </w:rPr>
        <w:t>.</w:t>
      </w:r>
    </w:p>
    <w:p w14:paraId="6862F1E1" w14:textId="77777777" w:rsidR="001865FE" w:rsidRPr="004A205E" w:rsidRDefault="001865FE" w:rsidP="004A205E">
      <w:pPr>
        <w:jc w:val="both"/>
        <w:rPr>
          <w:color w:val="000000"/>
          <w:sz w:val="24"/>
        </w:rPr>
      </w:pPr>
    </w:p>
    <w:p w14:paraId="36E62060" w14:textId="4FF7D417" w:rsidR="001865FE" w:rsidRPr="004A205E" w:rsidRDefault="001865FE" w:rsidP="004A205E">
      <w:pPr>
        <w:jc w:val="both"/>
        <w:rPr>
          <w:color w:val="000000"/>
          <w:sz w:val="24"/>
        </w:rPr>
      </w:pPr>
      <w:r w:rsidRPr="004A205E">
        <w:rPr>
          <w:color w:val="000000"/>
          <w:sz w:val="24"/>
        </w:rPr>
        <w:t xml:space="preserve">Contact DHR at (888) 392-3644 or visit </w:t>
      </w:r>
      <w:r w:rsidRPr="004A205E">
        <w:rPr>
          <w:i/>
          <w:color w:val="000000"/>
          <w:sz w:val="24"/>
        </w:rPr>
        <w:t>dhr.ny.gov/complaint</w:t>
      </w:r>
      <w:r w:rsidRPr="004A205E">
        <w:rPr>
          <w:color w:val="000000"/>
          <w:sz w:val="24"/>
        </w:rPr>
        <w:t xml:space="preserve"> for more information about filing a complaint. </w:t>
      </w:r>
      <w:r w:rsidR="004B4483" w:rsidRPr="004A205E">
        <w:rPr>
          <w:color w:val="000000"/>
          <w:sz w:val="24"/>
        </w:rPr>
        <w:t xml:space="preserve"> </w:t>
      </w:r>
      <w:r w:rsidRPr="004A205E">
        <w:rPr>
          <w:color w:val="000000"/>
          <w:sz w:val="24"/>
        </w:rPr>
        <w:t xml:space="preserve">The website has a complaint form that can be downloaded, filled out, notarized and mailed to DHR. </w:t>
      </w:r>
      <w:r w:rsidR="004B4483" w:rsidRPr="004A205E">
        <w:rPr>
          <w:color w:val="000000"/>
          <w:sz w:val="24"/>
        </w:rPr>
        <w:t xml:space="preserve"> </w:t>
      </w:r>
      <w:r w:rsidRPr="004A205E">
        <w:rPr>
          <w:color w:val="000000"/>
          <w:sz w:val="24"/>
        </w:rPr>
        <w:t xml:space="preserve">The website also contains contact information for DHR's regional offices across New York State. </w:t>
      </w:r>
    </w:p>
    <w:p w14:paraId="3574E256" w14:textId="77777777" w:rsidR="001865FE" w:rsidRPr="004A205E" w:rsidRDefault="001865FE" w:rsidP="001865FE">
      <w:pPr>
        <w:spacing w:line="240" w:lineRule="exact"/>
        <w:jc w:val="both"/>
        <w:rPr>
          <w:color w:val="000000"/>
          <w:sz w:val="24"/>
        </w:rPr>
      </w:pPr>
    </w:p>
    <w:p w14:paraId="601BC074" w14:textId="77777777" w:rsidR="001865FE" w:rsidRPr="004A205E" w:rsidRDefault="001865FE" w:rsidP="001865FE">
      <w:pPr>
        <w:spacing w:line="240" w:lineRule="exact"/>
        <w:jc w:val="both"/>
        <w:rPr>
          <w:color w:val="000000"/>
          <w:sz w:val="24"/>
          <w:u w:val="single"/>
        </w:rPr>
      </w:pPr>
      <w:r w:rsidRPr="004A205E">
        <w:rPr>
          <w:color w:val="000000"/>
          <w:sz w:val="24"/>
          <w:u w:val="single"/>
        </w:rPr>
        <w:t>Civil Rights Act of 1964</w:t>
      </w:r>
    </w:p>
    <w:p w14:paraId="23B2F95C" w14:textId="77777777" w:rsidR="001865FE" w:rsidRPr="004A205E" w:rsidRDefault="001865FE" w:rsidP="001865FE">
      <w:pPr>
        <w:spacing w:line="240" w:lineRule="exact"/>
        <w:jc w:val="both"/>
        <w:rPr>
          <w:color w:val="000000"/>
          <w:sz w:val="24"/>
        </w:rPr>
      </w:pPr>
    </w:p>
    <w:p w14:paraId="24150262" w14:textId="44CB6E8C" w:rsidR="001865FE" w:rsidRPr="004A205E" w:rsidRDefault="001865FE" w:rsidP="004A205E">
      <w:pPr>
        <w:jc w:val="both"/>
        <w:rPr>
          <w:color w:val="000000"/>
          <w:sz w:val="24"/>
        </w:rPr>
      </w:pPr>
      <w:r w:rsidRPr="004A205E">
        <w:rPr>
          <w:color w:val="000000"/>
          <w:sz w:val="24"/>
        </w:rPr>
        <w:t>The United States Equal Employment Opportun</w:t>
      </w:r>
      <w:r w:rsidR="001B787F" w:rsidRPr="004A205E">
        <w:rPr>
          <w:color w:val="000000"/>
          <w:sz w:val="24"/>
        </w:rPr>
        <w:t xml:space="preserve">ity Commission (EEOC) enforces </w:t>
      </w:r>
      <w:r w:rsidR="00AF0051" w:rsidRPr="000F5314">
        <w:rPr>
          <w:color w:val="000000"/>
          <w:sz w:val="24"/>
        </w:rPr>
        <w:t>f</w:t>
      </w:r>
      <w:r w:rsidRPr="004A205E">
        <w:rPr>
          <w:color w:val="000000"/>
          <w:sz w:val="24"/>
        </w:rPr>
        <w:t xml:space="preserve">ederal anti-discrimination laws, including Title VII of the 1964 </w:t>
      </w:r>
      <w:r w:rsidR="004B4483" w:rsidRPr="004A205E">
        <w:rPr>
          <w:color w:val="000000"/>
          <w:sz w:val="24"/>
        </w:rPr>
        <w:t>F</w:t>
      </w:r>
      <w:r w:rsidRPr="004A205E">
        <w:rPr>
          <w:color w:val="000000"/>
          <w:sz w:val="24"/>
        </w:rPr>
        <w:t xml:space="preserve">ederal Civil Rights Act (codified as 42 USC </w:t>
      </w:r>
      <w:r w:rsidR="001B787F" w:rsidRPr="004A205E">
        <w:rPr>
          <w:color w:val="000000"/>
          <w:sz w:val="24"/>
        </w:rPr>
        <w:t>Section</w:t>
      </w:r>
      <w:r w:rsidRPr="004A205E">
        <w:rPr>
          <w:color w:val="000000"/>
          <w:sz w:val="24"/>
        </w:rPr>
        <w:t xml:space="preserve"> 2000e</w:t>
      </w:r>
      <w:r w:rsidR="001B787F" w:rsidRPr="004A205E">
        <w:rPr>
          <w:color w:val="000000"/>
          <w:sz w:val="24"/>
        </w:rPr>
        <w:t>,</w:t>
      </w:r>
      <w:r w:rsidRPr="004A205E">
        <w:rPr>
          <w:color w:val="000000"/>
          <w:sz w:val="24"/>
        </w:rPr>
        <w:t xml:space="preserve"> et seq.). </w:t>
      </w:r>
      <w:r w:rsidR="004B4483" w:rsidRPr="004A205E">
        <w:rPr>
          <w:color w:val="000000"/>
          <w:sz w:val="24"/>
        </w:rPr>
        <w:t xml:space="preserve"> </w:t>
      </w:r>
      <w:r w:rsidRPr="004A205E">
        <w:rPr>
          <w:color w:val="000000"/>
          <w:sz w:val="24"/>
        </w:rPr>
        <w:t xml:space="preserve">An individual can file a complaint with the EEOC anytime within </w:t>
      </w:r>
      <w:r w:rsidR="004B4483" w:rsidRPr="004A205E">
        <w:rPr>
          <w:color w:val="000000"/>
          <w:sz w:val="24"/>
        </w:rPr>
        <w:t>three hundred (</w:t>
      </w:r>
      <w:r w:rsidRPr="004A205E">
        <w:rPr>
          <w:color w:val="000000"/>
          <w:sz w:val="24"/>
        </w:rPr>
        <w:t>300</w:t>
      </w:r>
      <w:r w:rsidR="004B4483" w:rsidRPr="004A205E">
        <w:rPr>
          <w:color w:val="000000"/>
          <w:sz w:val="24"/>
        </w:rPr>
        <w:t>)</w:t>
      </w:r>
      <w:r w:rsidRPr="004A205E">
        <w:rPr>
          <w:color w:val="000000"/>
          <w:sz w:val="24"/>
        </w:rPr>
        <w:t xml:space="preserve"> days from the harassment. </w:t>
      </w:r>
      <w:r w:rsidR="004B4483" w:rsidRPr="004A205E">
        <w:rPr>
          <w:color w:val="000000"/>
          <w:sz w:val="24"/>
        </w:rPr>
        <w:t xml:space="preserve"> </w:t>
      </w:r>
      <w:r w:rsidRPr="004A205E">
        <w:rPr>
          <w:color w:val="000000"/>
          <w:sz w:val="24"/>
        </w:rPr>
        <w:t xml:space="preserve">There is no cost to file a complaint with the EEOC. The EEOC will investigate the complaint and determine whether there is reasonable cause to believe that discrimination has occurred, at which </w:t>
      </w:r>
      <w:r w:rsidRPr="004A205E">
        <w:rPr>
          <w:color w:val="000000"/>
          <w:sz w:val="24"/>
        </w:rPr>
        <w:lastRenderedPageBreak/>
        <w:t xml:space="preserve">point the EEOC will issue a Right to Sue letter permitting the individual to file a complaint in </w:t>
      </w:r>
      <w:r w:rsidR="00AF0051" w:rsidRPr="000F5314">
        <w:rPr>
          <w:color w:val="000000"/>
          <w:sz w:val="24"/>
        </w:rPr>
        <w:t>f</w:t>
      </w:r>
      <w:r w:rsidRPr="004A205E">
        <w:rPr>
          <w:color w:val="000000"/>
          <w:sz w:val="24"/>
        </w:rPr>
        <w:t>ederal court</w:t>
      </w:r>
      <w:r w:rsidR="00AF0051">
        <w:rPr>
          <w:color w:val="000000"/>
          <w:sz w:val="24"/>
        </w:rPr>
        <w:t xml:space="preserve"> </w:t>
      </w:r>
      <w:r w:rsidR="00AF0051" w:rsidRPr="000F5314">
        <w:rPr>
          <w:color w:val="000000"/>
          <w:sz w:val="24"/>
        </w:rPr>
        <w:t>within ninety (90) days</w:t>
      </w:r>
      <w:r w:rsidRPr="004A205E">
        <w:rPr>
          <w:color w:val="000000"/>
          <w:sz w:val="24"/>
        </w:rPr>
        <w:t xml:space="preserve">. </w:t>
      </w:r>
    </w:p>
    <w:p w14:paraId="550939C6" w14:textId="77777777" w:rsidR="001865FE" w:rsidRPr="004A205E" w:rsidRDefault="001865FE" w:rsidP="004A205E">
      <w:pPr>
        <w:jc w:val="both"/>
        <w:rPr>
          <w:color w:val="000000"/>
          <w:sz w:val="24"/>
        </w:rPr>
      </w:pPr>
    </w:p>
    <w:p w14:paraId="079A8C9F" w14:textId="379A112F" w:rsidR="001865FE" w:rsidRPr="004A205E" w:rsidRDefault="001865FE" w:rsidP="004A205E">
      <w:pPr>
        <w:jc w:val="both"/>
        <w:rPr>
          <w:color w:val="000000"/>
          <w:sz w:val="24"/>
        </w:rPr>
      </w:pPr>
      <w:r w:rsidRPr="004A205E">
        <w:rPr>
          <w:color w:val="000000"/>
          <w:sz w:val="24"/>
        </w:rPr>
        <w:t>The EEOC does not hold hearings or award relief, but may take other action</w:t>
      </w:r>
      <w:r w:rsidR="001B787F" w:rsidRPr="004A205E">
        <w:rPr>
          <w:color w:val="000000"/>
          <w:sz w:val="24"/>
        </w:rPr>
        <w:t>,</w:t>
      </w:r>
      <w:r w:rsidRPr="004A205E">
        <w:rPr>
          <w:color w:val="000000"/>
          <w:sz w:val="24"/>
        </w:rPr>
        <w:t xml:space="preserve"> including pursuing cases in </w:t>
      </w:r>
      <w:r w:rsidR="00AF0051" w:rsidRPr="000F5314">
        <w:rPr>
          <w:color w:val="000000"/>
          <w:sz w:val="24"/>
        </w:rPr>
        <w:t>f</w:t>
      </w:r>
      <w:r w:rsidRPr="004A205E">
        <w:rPr>
          <w:color w:val="000000"/>
          <w:sz w:val="24"/>
        </w:rPr>
        <w:t xml:space="preserve">ederal court on behalf of complaining parties. </w:t>
      </w:r>
      <w:r w:rsidR="004B4483" w:rsidRPr="004A205E">
        <w:rPr>
          <w:color w:val="000000"/>
          <w:sz w:val="24"/>
        </w:rPr>
        <w:t xml:space="preserve"> </w:t>
      </w:r>
      <w:r w:rsidRPr="004A205E">
        <w:rPr>
          <w:color w:val="000000"/>
          <w:sz w:val="24"/>
        </w:rPr>
        <w:t>Federal courts may award remedies if discrimination is found to have occurred.</w:t>
      </w:r>
    </w:p>
    <w:p w14:paraId="4F115EBE" w14:textId="77777777" w:rsidR="001865FE" w:rsidRPr="004A205E" w:rsidRDefault="001865FE" w:rsidP="004A205E">
      <w:pPr>
        <w:ind w:firstLine="540"/>
        <w:jc w:val="both"/>
        <w:rPr>
          <w:color w:val="000000"/>
          <w:sz w:val="24"/>
        </w:rPr>
      </w:pPr>
    </w:p>
    <w:p w14:paraId="686C7497" w14:textId="109F1C1B" w:rsidR="001865FE" w:rsidRPr="004A205E" w:rsidRDefault="001865FE" w:rsidP="004A205E">
      <w:pPr>
        <w:jc w:val="both"/>
        <w:rPr>
          <w:color w:val="000000"/>
          <w:sz w:val="24"/>
        </w:rPr>
      </w:pPr>
      <w:r w:rsidRPr="004A205E">
        <w:rPr>
          <w:color w:val="000000"/>
          <w:sz w:val="24"/>
        </w:rPr>
        <w:t xml:space="preserve">The EEOC has district, area, and field offices where complaints can be filed. </w:t>
      </w:r>
      <w:r w:rsidR="004B4483" w:rsidRPr="004A205E">
        <w:rPr>
          <w:color w:val="000000"/>
          <w:sz w:val="24"/>
        </w:rPr>
        <w:t xml:space="preserve"> </w:t>
      </w:r>
      <w:r w:rsidRPr="004A205E">
        <w:rPr>
          <w:color w:val="000000"/>
          <w:sz w:val="24"/>
        </w:rPr>
        <w:t xml:space="preserve">Contact the EEOC by calling 1-800-669-4000 (TTY: 1-800-669-6820), visiting their website at </w:t>
      </w:r>
      <w:r w:rsidRPr="004A205E">
        <w:rPr>
          <w:i/>
          <w:color w:val="000000"/>
          <w:sz w:val="24"/>
        </w:rPr>
        <w:t>www.eeoc.gov</w:t>
      </w:r>
      <w:r w:rsidRPr="004A205E">
        <w:rPr>
          <w:color w:val="000000"/>
          <w:sz w:val="24"/>
        </w:rPr>
        <w:t xml:space="preserve"> or via email at </w:t>
      </w:r>
      <w:r w:rsidRPr="004A205E">
        <w:rPr>
          <w:i/>
          <w:color w:val="000000"/>
          <w:sz w:val="24"/>
        </w:rPr>
        <w:t>info@eeoc.gov</w:t>
      </w:r>
      <w:r w:rsidRPr="004A205E">
        <w:rPr>
          <w:color w:val="000000"/>
          <w:sz w:val="24"/>
        </w:rPr>
        <w:t>.</w:t>
      </w:r>
    </w:p>
    <w:p w14:paraId="23C1AF55" w14:textId="77777777" w:rsidR="001865FE" w:rsidRPr="004A205E" w:rsidRDefault="001865FE" w:rsidP="004A205E">
      <w:pPr>
        <w:jc w:val="both"/>
        <w:rPr>
          <w:color w:val="000000"/>
          <w:sz w:val="24"/>
        </w:rPr>
      </w:pPr>
    </w:p>
    <w:p w14:paraId="587007A0" w14:textId="4939442D" w:rsidR="001865FE" w:rsidRPr="004A205E" w:rsidRDefault="001865FE" w:rsidP="004A205E">
      <w:pPr>
        <w:jc w:val="both"/>
        <w:rPr>
          <w:color w:val="000000"/>
          <w:sz w:val="24"/>
        </w:rPr>
      </w:pPr>
      <w:r w:rsidRPr="004A205E">
        <w:rPr>
          <w:color w:val="000000"/>
          <w:sz w:val="24"/>
        </w:rPr>
        <w:t xml:space="preserve">If an individual filed an administrative complaint with DHR, DHR will file the complaint with the EEOC to preserve the right to proceed in </w:t>
      </w:r>
      <w:r w:rsidR="00AF0051" w:rsidRPr="000F5314">
        <w:rPr>
          <w:color w:val="000000"/>
          <w:sz w:val="24"/>
        </w:rPr>
        <w:t>f</w:t>
      </w:r>
      <w:r w:rsidRPr="004A205E">
        <w:rPr>
          <w:color w:val="000000"/>
          <w:sz w:val="24"/>
        </w:rPr>
        <w:t>ederal court.</w:t>
      </w:r>
    </w:p>
    <w:p w14:paraId="5CE1645B" w14:textId="77777777" w:rsidR="001865FE" w:rsidRPr="004A205E" w:rsidRDefault="001865FE" w:rsidP="001865FE">
      <w:pPr>
        <w:spacing w:line="240" w:lineRule="exact"/>
        <w:jc w:val="both"/>
        <w:rPr>
          <w:color w:val="000000"/>
          <w:sz w:val="24"/>
        </w:rPr>
      </w:pPr>
    </w:p>
    <w:p w14:paraId="4DD3F217" w14:textId="1B427BB7" w:rsidR="001865FE" w:rsidRPr="004A205E" w:rsidRDefault="001865FE" w:rsidP="001865FE">
      <w:pPr>
        <w:spacing w:line="240" w:lineRule="exact"/>
        <w:jc w:val="both"/>
        <w:rPr>
          <w:color w:val="000000"/>
          <w:sz w:val="24"/>
          <w:u w:val="single"/>
        </w:rPr>
      </w:pPr>
      <w:r w:rsidRPr="004A205E">
        <w:rPr>
          <w:color w:val="000000"/>
          <w:sz w:val="24"/>
          <w:u w:val="single"/>
        </w:rPr>
        <w:t>Title IX</w:t>
      </w:r>
    </w:p>
    <w:p w14:paraId="56FB3FEF" w14:textId="77777777" w:rsidR="001865FE" w:rsidRPr="004A205E" w:rsidRDefault="001865FE" w:rsidP="001865FE">
      <w:pPr>
        <w:spacing w:line="240" w:lineRule="exact"/>
        <w:jc w:val="both"/>
        <w:rPr>
          <w:color w:val="000000"/>
          <w:sz w:val="24"/>
          <w:u w:val="single"/>
        </w:rPr>
      </w:pPr>
    </w:p>
    <w:p w14:paraId="7FD09D05" w14:textId="23C41756" w:rsidR="001865FE" w:rsidRPr="004A205E" w:rsidRDefault="001865FE" w:rsidP="004A205E">
      <w:pPr>
        <w:jc w:val="both"/>
        <w:rPr>
          <w:color w:val="000000"/>
          <w:sz w:val="24"/>
        </w:rPr>
      </w:pPr>
      <w:r w:rsidRPr="004A205E">
        <w:rPr>
          <w:color w:val="000000"/>
          <w:sz w:val="24"/>
        </w:rPr>
        <w:t xml:space="preserve">Title IX of the Education Amendments of 1972 prohibits discrimination on the basis of sex in any federally funded education program or activity. </w:t>
      </w:r>
      <w:r w:rsidR="004B4483" w:rsidRPr="004A205E">
        <w:rPr>
          <w:color w:val="000000"/>
          <w:sz w:val="24"/>
        </w:rPr>
        <w:t xml:space="preserve"> </w:t>
      </w:r>
      <w:r w:rsidRPr="004A205E">
        <w:rPr>
          <w:color w:val="000000"/>
          <w:sz w:val="24"/>
        </w:rPr>
        <w:t xml:space="preserve">The U.S. Department of Education's Office for Civil Rights (OCR) enforces Title IX of the Education Amendments of 1972. </w:t>
      </w:r>
    </w:p>
    <w:p w14:paraId="0124C9EC" w14:textId="77777777" w:rsidR="001865FE" w:rsidRPr="004A205E" w:rsidRDefault="001865FE" w:rsidP="004A205E">
      <w:pPr>
        <w:jc w:val="both"/>
        <w:rPr>
          <w:color w:val="000000"/>
          <w:sz w:val="24"/>
          <w:u w:val="single"/>
        </w:rPr>
      </w:pPr>
    </w:p>
    <w:p w14:paraId="7B631502" w14:textId="4D9667FB" w:rsidR="001865FE" w:rsidRPr="004A205E" w:rsidRDefault="001865FE" w:rsidP="004A205E">
      <w:pPr>
        <w:jc w:val="both"/>
        <w:rPr>
          <w:color w:val="000000"/>
          <w:sz w:val="24"/>
        </w:rPr>
      </w:pPr>
      <w:r w:rsidRPr="004A205E">
        <w:rPr>
          <w:color w:val="000000"/>
          <w:sz w:val="24"/>
        </w:rPr>
        <w:t xml:space="preserve">For more information about how to file a complaint, contact OCR at 800-421-3481 (TDD 800-877-8339) or visit: </w:t>
      </w:r>
      <w:hyperlink r:id="rId7" w:history="1">
        <w:r w:rsidRPr="004A205E">
          <w:rPr>
            <w:color w:val="000000"/>
            <w:sz w:val="24"/>
            <w:u w:val="single"/>
          </w:rPr>
          <w:t>https://www2.ed.gov/about/offices/list/ocr/docs/howto.html</w:t>
        </w:r>
      </w:hyperlink>
      <w:r w:rsidRPr="004A205E">
        <w:rPr>
          <w:color w:val="000000"/>
          <w:sz w:val="24"/>
        </w:rPr>
        <w:t xml:space="preserve">. </w:t>
      </w:r>
      <w:r w:rsidR="004B4483" w:rsidRPr="004A205E">
        <w:rPr>
          <w:color w:val="000000"/>
          <w:sz w:val="24"/>
        </w:rPr>
        <w:t xml:space="preserve"> </w:t>
      </w:r>
      <w:r w:rsidRPr="004A205E">
        <w:rPr>
          <w:color w:val="000000"/>
          <w:sz w:val="24"/>
        </w:rPr>
        <w:t xml:space="preserve">The website contains information about filing the complaint online, by mail, or by email. </w:t>
      </w:r>
    </w:p>
    <w:p w14:paraId="2329E95D" w14:textId="77777777" w:rsidR="001865FE" w:rsidRPr="004A205E" w:rsidRDefault="001865FE" w:rsidP="001865FE">
      <w:pPr>
        <w:spacing w:line="240" w:lineRule="exact"/>
        <w:jc w:val="both"/>
        <w:rPr>
          <w:color w:val="000000"/>
          <w:sz w:val="24"/>
          <w:u w:val="single"/>
        </w:rPr>
      </w:pPr>
    </w:p>
    <w:p w14:paraId="19EA4890" w14:textId="77777777" w:rsidR="001865FE" w:rsidRPr="004A205E" w:rsidRDefault="001865FE" w:rsidP="001865FE">
      <w:pPr>
        <w:spacing w:line="240" w:lineRule="exact"/>
        <w:jc w:val="both"/>
        <w:rPr>
          <w:color w:val="000000"/>
          <w:sz w:val="24"/>
          <w:u w:val="single"/>
        </w:rPr>
      </w:pPr>
      <w:r w:rsidRPr="004A205E">
        <w:rPr>
          <w:color w:val="000000"/>
          <w:sz w:val="24"/>
          <w:u w:val="single"/>
        </w:rPr>
        <w:t>Local Protections</w:t>
      </w:r>
    </w:p>
    <w:p w14:paraId="4BEE837E" w14:textId="77777777" w:rsidR="001865FE" w:rsidRPr="004A205E" w:rsidRDefault="001865FE" w:rsidP="001865FE">
      <w:pPr>
        <w:spacing w:line="240" w:lineRule="exact"/>
        <w:jc w:val="both"/>
        <w:rPr>
          <w:color w:val="000000"/>
          <w:sz w:val="24"/>
        </w:rPr>
      </w:pPr>
    </w:p>
    <w:p w14:paraId="1837680B" w14:textId="5E20FC7F" w:rsidR="001865FE" w:rsidRPr="004A205E" w:rsidRDefault="001865FE" w:rsidP="004A205E">
      <w:pPr>
        <w:jc w:val="both"/>
        <w:rPr>
          <w:color w:val="000000"/>
          <w:sz w:val="24"/>
        </w:rPr>
      </w:pPr>
      <w:r w:rsidRPr="004A205E">
        <w:rPr>
          <w:color w:val="000000"/>
          <w:sz w:val="24"/>
        </w:rPr>
        <w:t xml:space="preserve">Many localities enforce laws protecting individuals from harassment and discrimination. </w:t>
      </w:r>
      <w:r w:rsidR="004B4483" w:rsidRPr="004A205E">
        <w:rPr>
          <w:color w:val="000000"/>
          <w:sz w:val="24"/>
        </w:rPr>
        <w:t xml:space="preserve"> </w:t>
      </w:r>
      <w:r w:rsidRPr="004A205E">
        <w:rPr>
          <w:color w:val="000000"/>
          <w:sz w:val="24"/>
        </w:rPr>
        <w:t xml:space="preserve">An individual should contact the county, city or town in which they live to find out if such a law exists. </w:t>
      </w:r>
    </w:p>
    <w:p w14:paraId="209F3DB9" w14:textId="77777777" w:rsidR="001865FE" w:rsidRPr="004A205E" w:rsidRDefault="001865FE" w:rsidP="001865FE">
      <w:pPr>
        <w:spacing w:line="240" w:lineRule="exact"/>
        <w:jc w:val="both"/>
        <w:rPr>
          <w:color w:val="000000"/>
          <w:sz w:val="24"/>
        </w:rPr>
      </w:pPr>
    </w:p>
    <w:p w14:paraId="180F9FE0" w14:textId="77777777" w:rsidR="001865FE" w:rsidRPr="004A205E" w:rsidRDefault="001865FE" w:rsidP="001865FE">
      <w:pPr>
        <w:spacing w:line="240" w:lineRule="exact"/>
        <w:jc w:val="both"/>
        <w:rPr>
          <w:color w:val="000000"/>
          <w:sz w:val="24"/>
          <w:u w:val="single"/>
        </w:rPr>
      </w:pPr>
      <w:r w:rsidRPr="004A205E">
        <w:rPr>
          <w:color w:val="000000"/>
          <w:sz w:val="24"/>
          <w:u w:val="single"/>
        </w:rPr>
        <w:t>Local Police Department</w:t>
      </w:r>
    </w:p>
    <w:p w14:paraId="2A751AA9" w14:textId="77777777" w:rsidR="001865FE" w:rsidRPr="004A205E" w:rsidRDefault="001865FE" w:rsidP="001865FE">
      <w:pPr>
        <w:spacing w:line="240" w:lineRule="exact"/>
        <w:jc w:val="both"/>
        <w:rPr>
          <w:color w:val="000000"/>
          <w:sz w:val="24"/>
        </w:rPr>
      </w:pPr>
    </w:p>
    <w:p w14:paraId="698C8767" w14:textId="3F276481" w:rsidR="001865FE" w:rsidRPr="00BA63B2" w:rsidRDefault="001865FE" w:rsidP="004A205E">
      <w:pPr>
        <w:jc w:val="both"/>
        <w:rPr>
          <w:color w:val="000000"/>
          <w:szCs w:val="20"/>
        </w:rPr>
      </w:pPr>
      <w:r w:rsidRPr="004A205E">
        <w:rPr>
          <w:color w:val="000000"/>
          <w:sz w:val="24"/>
        </w:rPr>
        <w:t xml:space="preserve">If the harassment involves unwanted physical touching, coerced physical confinement or coerced sex acts, the conduct may constitute a crime. </w:t>
      </w:r>
      <w:r w:rsidR="004B4483" w:rsidRPr="004A205E">
        <w:rPr>
          <w:color w:val="000000"/>
          <w:sz w:val="24"/>
        </w:rPr>
        <w:t xml:space="preserve"> </w:t>
      </w:r>
      <w:r w:rsidRPr="004A205E">
        <w:rPr>
          <w:color w:val="000000"/>
          <w:sz w:val="24"/>
        </w:rPr>
        <w:t>Contact the local police department.</w:t>
      </w:r>
    </w:p>
    <w:p w14:paraId="1AC38B33" w14:textId="77777777" w:rsidR="00D26B54" w:rsidRDefault="00D26B54" w:rsidP="006E76A0">
      <w:pPr>
        <w:keepNext/>
        <w:tabs>
          <w:tab w:val="left" w:pos="360"/>
        </w:tabs>
        <w:rPr>
          <w:b/>
          <w:bCs/>
          <w:szCs w:val="22"/>
        </w:rPr>
      </w:pPr>
    </w:p>
    <w:p w14:paraId="01895084" w14:textId="77777777" w:rsidR="00D26B54" w:rsidRDefault="00D26B54" w:rsidP="006E76A0">
      <w:pPr>
        <w:keepNext/>
        <w:tabs>
          <w:tab w:val="left" w:pos="360"/>
        </w:tabs>
        <w:rPr>
          <w:b/>
          <w:bCs/>
          <w:szCs w:val="22"/>
        </w:rPr>
      </w:pPr>
    </w:p>
    <w:p w14:paraId="4F7D9BCD" w14:textId="5AD03B8C" w:rsidR="006E76A0" w:rsidRPr="006D63E2" w:rsidRDefault="006E76A0" w:rsidP="006E76A0">
      <w:pPr>
        <w:keepNext/>
        <w:tabs>
          <w:tab w:val="left" w:pos="360"/>
        </w:tabs>
        <w:rPr>
          <w:szCs w:val="22"/>
        </w:rPr>
      </w:pPr>
      <w:r w:rsidRPr="006D63E2">
        <w:rPr>
          <w:b/>
          <w:bCs/>
          <w:szCs w:val="22"/>
        </w:rPr>
        <w:t>References:</w:t>
      </w:r>
    </w:p>
    <w:p w14:paraId="20CEFA57" w14:textId="77777777" w:rsidR="00A61111" w:rsidRPr="00A61111" w:rsidRDefault="00A61111" w:rsidP="00A61111">
      <w:pPr>
        <w:numPr>
          <w:ilvl w:val="0"/>
          <w:numId w:val="4"/>
        </w:numPr>
        <w:tabs>
          <w:tab w:val="left" w:pos="5760"/>
          <w:tab w:val="left" w:pos="7200"/>
        </w:tabs>
        <w:rPr>
          <w:rFonts w:cs="Arial"/>
          <w:snapToGrid w:val="0"/>
          <w:szCs w:val="22"/>
        </w:rPr>
      </w:pPr>
      <w:r w:rsidRPr="00A61111">
        <w:rPr>
          <w:rFonts w:cs="Arial"/>
          <w:snapToGrid w:val="0"/>
          <w:szCs w:val="22"/>
        </w:rPr>
        <w:t>Title VII of the Civil Rights Act of 1964, 42 USC Section 2000e, et seq.</w:t>
      </w:r>
    </w:p>
    <w:p w14:paraId="3F66A08A" w14:textId="77777777" w:rsidR="00A61111" w:rsidRPr="00A61111" w:rsidRDefault="00A61111" w:rsidP="00A61111">
      <w:pPr>
        <w:numPr>
          <w:ilvl w:val="0"/>
          <w:numId w:val="4"/>
        </w:numPr>
        <w:tabs>
          <w:tab w:val="left" w:pos="5760"/>
          <w:tab w:val="left" w:pos="7200"/>
        </w:tabs>
        <w:rPr>
          <w:rFonts w:cs="Arial"/>
          <w:snapToGrid w:val="0"/>
          <w:szCs w:val="22"/>
        </w:rPr>
      </w:pPr>
      <w:r w:rsidRPr="00A61111">
        <w:rPr>
          <w:rFonts w:cs="Arial"/>
          <w:snapToGrid w:val="0"/>
          <w:szCs w:val="22"/>
        </w:rPr>
        <w:t>Title IX of the Education Amendments of 1972, 20 USC Section 1681, et seq.</w:t>
      </w:r>
    </w:p>
    <w:p w14:paraId="5F29AC2B" w14:textId="77777777" w:rsidR="00A61111" w:rsidRPr="00A61111" w:rsidRDefault="00A61111" w:rsidP="00A61111">
      <w:pPr>
        <w:numPr>
          <w:ilvl w:val="0"/>
          <w:numId w:val="4"/>
        </w:numPr>
        <w:tabs>
          <w:tab w:val="left" w:pos="5760"/>
          <w:tab w:val="left" w:pos="7200"/>
        </w:tabs>
        <w:rPr>
          <w:rFonts w:cs="Arial"/>
          <w:snapToGrid w:val="0"/>
          <w:szCs w:val="22"/>
        </w:rPr>
      </w:pPr>
      <w:r w:rsidRPr="00A61111">
        <w:rPr>
          <w:rFonts w:cs="Arial"/>
          <w:snapToGrid w:val="0"/>
          <w:szCs w:val="22"/>
        </w:rPr>
        <w:t>29 CFR Section 1604.11(a)</w:t>
      </w:r>
    </w:p>
    <w:p w14:paraId="5CBEC5E3" w14:textId="77777777" w:rsidR="00A61111" w:rsidRPr="00A61111" w:rsidRDefault="00A61111" w:rsidP="00A61111">
      <w:pPr>
        <w:numPr>
          <w:ilvl w:val="0"/>
          <w:numId w:val="4"/>
        </w:numPr>
        <w:tabs>
          <w:tab w:val="left" w:pos="5760"/>
          <w:tab w:val="left" w:pos="7200"/>
        </w:tabs>
        <w:rPr>
          <w:rFonts w:cs="Arial"/>
          <w:snapToGrid w:val="0"/>
          <w:szCs w:val="22"/>
        </w:rPr>
      </w:pPr>
      <w:r w:rsidRPr="00A61111">
        <w:rPr>
          <w:rFonts w:cs="Arial"/>
          <w:snapToGrid w:val="0"/>
          <w:szCs w:val="22"/>
        </w:rPr>
        <w:t xml:space="preserve">34 CFR Subtitle B, Chapter I </w:t>
      </w:r>
    </w:p>
    <w:p w14:paraId="1DBA6E42" w14:textId="77777777" w:rsidR="00A61111" w:rsidRPr="00A61111" w:rsidRDefault="00A61111" w:rsidP="00A61111">
      <w:pPr>
        <w:numPr>
          <w:ilvl w:val="0"/>
          <w:numId w:val="4"/>
        </w:numPr>
        <w:tabs>
          <w:tab w:val="left" w:pos="5760"/>
          <w:tab w:val="left" w:pos="7200"/>
        </w:tabs>
        <w:rPr>
          <w:rFonts w:cs="Arial"/>
          <w:snapToGrid w:val="0"/>
          <w:szCs w:val="22"/>
        </w:rPr>
      </w:pPr>
      <w:r w:rsidRPr="00A61111">
        <w:rPr>
          <w:rFonts w:cs="Arial"/>
          <w:snapToGrid w:val="0"/>
          <w:szCs w:val="22"/>
        </w:rPr>
        <w:t>Civil Service Law Section 75-B</w:t>
      </w:r>
    </w:p>
    <w:p w14:paraId="142496D2" w14:textId="77777777" w:rsidR="00A61111" w:rsidRPr="00A61111" w:rsidRDefault="00A61111" w:rsidP="00A61111">
      <w:pPr>
        <w:numPr>
          <w:ilvl w:val="0"/>
          <w:numId w:val="4"/>
        </w:numPr>
        <w:tabs>
          <w:tab w:val="left" w:pos="5760"/>
          <w:tab w:val="left" w:pos="7200"/>
        </w:tabs>
        <w:rPr>
          <w:rFonts w:cs="Arial"/>
          <w:snapToGrid w:val="0"/>
          <w:szCs w:val="22"/>
        </w:rPr>
      </w:pPr>
      <w:r w:rsidRPr="00A61111">
        <w:rPr>
          <w:rFonts w:cs="Arial"/>
          <w:snapToGrid w:val="0"/>
          <w:szCs w:val="22"/>
        </w:rPr>
        <w:t>Executive Law Article 15</w:t>
      </w:r>
    </w:p>
    <w:p w14:paraId="5ABABCA5" w14:textId="77777777" w:rsidR="006E76A0" w:rsidRDefault="00A61111" w:rsidP="006E76A0">
      <w:pPr>
        <w:numPr>
          <w:ilvl w:val="0"/>
          <w:numId w:val="4"/>
        </w:numPr>
        <w:tabs>
          <w:tab w:val="left" w:pos="5760"/>
          <w:tab w:val="left" w:pos="7200"/>
        </w:tabs>
        <w:rPr>
          <w:rFonts w:cs="Arial"/>
          <w:snapToGrid w:val="0"/>
          <w:szCs w:val="22"/>
        </w:rPr>
      </w:pPr>
      <w:r w:rsidRPr="00A61111">
        <w:rPr>
          <w:rFonts w:cs="Arial"/>
          <w:snapToGrid w:val="0"/>
          <w:szCs w:val="22"/>
        </w:rPr>
        <w:t>Labor Law Section 201-g</w:t>
      </w:r>
    </w:p>
    <w:p w14:paraId="48E3F549" w14:textId="77777777" w:rsidR="00A61111" w:rsidRDefault="00A61111" w:rsidP="006E76A0">
      <w:pPr>
        <w:numPr>
          <w:ilvl w:val="0"/>
          <w:numId w:val="4"/>
        </w:numPr>
        <w:tabs>
          <w:tab w:val="left" w:pos="5760"/>
          <w:tab w:val="left" w:pos="7200"/>
        </w:tabs>
        <w:rPr>
          <w:rFonts w:cs="Arial"/>
          <w:snapToGrid w:val="0"/>
          <w:szCs w:val="22"/>
        </w:rPr>
      </w:pPr>
      <w:r>
        <w:rPr>
          <w:rFonts w:cs="Arial"/>
          <w:snapToGrid w:val="0"/>
          <w:szCs w:val="22"/>
        </w:rPr>
        <w:t xml:space="preserve">Board Policy 5180 – </w:t>
      </w:r>
      <w:r w:rsidR="00835227">
        <w:rPr>
          <w:rFonts w:cs="Arial"/>
          <w:snapToGrid w:val="0"/>
          <w:szCs w:val="22"/>
        </w:rPr>
        <w:t xml:space="preserve">Complaints and </w:t>
      </w:r>
      <w:r>
        <w:rPr>
          <w:rFonts w:cs="Arial"/>
          <w:snapToGrid w:val="0"/>
          <w:szCs w:val="22"/>
        </w:rPr>
        <w:t>Grievances</w:t>
      </w:r>
      <w:r w:rsidR="00835227">
        <w:rPr>
          <w:rFonts w:cs="Arial"/>
          <w:snapToGrid w:val="0"/>
          <w:szCs w:val="22"/>
        </w:rPr>
        <w:t xml:space="preserve"> by Employees</w:t>
      </w:r>
    </w:p>
    <w:p w14:paraId="6C45C836" w14:textId="77777777" w:rsidR="00A61111" w:rsidRPr="00835227" w:rsidRDefault="00A61111" w:rsidP="00835227">
      <w:pPr>
        <w:numPr>
          <w:ilvl w:val="0"/>
          <w:numId w:val="4"/>
        </w:numPr>
        <w:tabs>
          <w:tab w:val="left" w:pos="5760"/>
          <w:tab w:val="left" w:pos="7200"/>
        </w:tabs>
        <w:rPr>
          <w:rFonts w:cs="Arial"/>
          <w:snapToGrid w:val="0"/>
          <w:szCs w:val="22"/>
        </w:rPr>
      </w:pPr>
      <w:r>
        <w:rPr>
          <w:rFonts w:cs="Arial"/>
          <w:snapToGrid w:val="0"/>
          <w:szCs w:val="22"/>
        </w:rPr>
        <w:lastRenderedPageBreak/>
        <w:t xml:space="preserve">Board Policy </w:t>
      </w:r>
      <w:r w:rsidR="00835227">
        <w:rPr>
          <w:rFonts w:cs="Arial"/>
          <w:snapToGrid w:val="0"/>
          <w:szCs w:val="22"/>
        </w:rPr>
        <w:t>6560</w:t>
      </w:r>
      <w:r>
        <w:rPr>
          <w:rFonts w:cs="Arial"/>
          <w:snapToGrid w:val="0"/>
          <w:szCs w:val="22"/>
        </w:rPr>
        <w:t xml:space="preserve"> - </w:t>
      </w:r>
      <w:r w:rsidR="00835227">
        <w:rPr>
          <w:rFonts w:cs="Arial"/>
          <w:snapToGrid w:val="0"/>
          <w:szCs w:val="22"/>
        </w:rPr>
        <w:t>Harassment, Bullying, and Discrimination (Students)</w:t>
      </w:r>
    </w:p>
    <w:p w14:paraId="4C1E9F86" w14:textId="77777777" w:rsidR="00835227" w:rsidRDefault="00835227" w:rsidP="006E76A0">
      <w:pPr>
        <w:numPr>
          <w:ilvl w:val="0"/>
          <w:numId w:val="4"/>
        </w:numPr>
        <w:tabs>
          <w:tab w:val="left" w:pos="5760"/>
          <w:tab w:val="left" w:pos="7200"/>
        </w:tabs>
        <w:rPr>
          <w:rFonts w:cs="Arial"/>
          <w:snapToGrid w:val="0"/>
          <w:szCs w:val="22"/>
        </w:rPr>
      </w:pPr>
      <w:r>
        <w:rPr>
          <w:rFonts w:cs="Arial"/>
          <w:snapToGrid w:val="0"/>
          <w:szCs w:val="22"/>
        </w:rPr>
        <w:t>Administrative Regulation 5180R.1 – Complaints and Grievances by Employees</w:t>
      </w:r>
    </w:p>
    <w:p w14:paraId="4DDAC4B3" w14:textId="77777777" w:rsidR="00835227" w:rsidRPr="00A61111" w:rsidRDefault="00835227" w:rsidP="006E76A0">
      <w:pPr>
        <w:numPr>
          <w:ilvl w:val="0"/>
          <w:numId w:val="4"/>
        </w:numPr>
        <w:tabs>
          <w:tab w:val="left" w:pos="5760"/>
          <w:tab w:val="left" w:pos="7200"/>
        </w:tabs>
        <w:rPr>
          <w:rFonts w:cs="Arial"/>
          <w:snapToGrid w:val="0"/>
          <w:szCs w:val="22"/>
        </w:rPr>
      </w:pPr>
      <w:r>
        <w:rPr>
          <w:rFonts w:cs="Arial"/>
          <w:snapToGrid w:val="0"/>
          <w:szCs w:val="22"/>
        </w:rPr>
        <w:t>Administrative Regulation 6560R.1 – Harassment, Bullying, and Discrimination (Students)</w:t>
      </w:r>
    </w:p>
    <w:p w14:paraId="5CB8EBE1" w14:textId="77777777" w:rsidR="006E76A0" w:rsidRPr="006D63E2" w:rsidRDefault="006E76A0" w:rsidP="006E76A0">
      <w:pPr>
        <w:tabs>
          <w:tab w:val="left" w:pos="5760"/>
          <w:tab w:val="left" w:pos="7200"/>
        </w:tabs>
        <w:rPr>
          <w:rFonts w:cs="Arial"/>
          <w:snapToGrid w:val="0"/>
          <w:szCs w:val="22"/>
        </w:rPr>
      </w:pPr>
    </w:p>
    <w:p w14:paraId="3D3E034F" w14:textId="77777777" w:rsidR="006E76A0" w:rsidRPr="00A64D2A" w:rsidRDefault="006E76A0">
      <w:pPr>
        <w:pStyle w:val="BodyText2"/>
        <w:tabs>
          <w:tab w:val="clear" w:pos="547"/>
          <w:tab w:val="clear" w:pos="1080"/>
          <w:tab w:val="clear" w:pos="1440"/>
          <w:tab w:val="clear" w:pos="4507"/>
          <w:tab w:val="clear" w:pos="7200"/>
          <w:tab w:val="clear" w:pos="9000"/>
        </w:tabs>
        <w:spacing w:line="240" w:lineRule="auto"/>
        <w:jc w:val="left"/>
        <w:rPr>
          <w:b w:val="0"/>
          <w:sz w:val="22"/>
        </w:rPr>
      </w:pPr>
    </w:p>
    <w:p w14:paraId="47D4EF37" w14:textId="77777777" w:rsidR="00CF61F5" w:rsidRDefault="00CF61F5">
      <w:pPr>
        <w:tabs>
          <w:tab w:val="left" w:pos="547"/>
          <w:tab w:val="left" w:pos="1080"/>
          <w:tab w:val="left" w:pos="1440"/>
          <w:tab w:val="left" w:pos="4507"/>
          <w:tab w:val="left" w:pos="7200"/>
          <w:tab w:val="left" w:pos="9000"/>
        </w:tabs>
        <w:jc w:val="both"/>
        <w:rPr>
          <w:sz w:val="18"/>
        </w:rPr>
      </w:pPr>
    </w:p>
    <w:p w14:paraId="0F11CF1C" w14:textId="07CFBEBC" w:rsidR="00167371" w:rsidRPr="00A64D2A" w:rsidRDefault="00E02589">
      <w:pPr>
        <w:tabs>
          <w:tab w:val="left" w:pos="547"/>
          <w:tab w:val="left" w:pos="1080"/>
          <w:tab w:val="left" w:pos="1440"/>
          <w:tab w:val="left" w:pos="4507"/>
          <w:tab w:val="left" w:pos="7200"/>
          <w:tab w:val="left" w:pos="9000"/>
        </w:tabs>
        <w:jc w:val="both"/>
        <w:rPr>
          <w:sz w:val="18"/>
        </w:rPr>
      </w:pPr>
      <w:r w:rsidRPr="00A64D2A">
        <w:rPr>
          <w:sz w:val="18"/>
        </w:rPr>
        <w:t xml:space="preserve">First </w:t>
      </w:r>
      <w:r w:rsidR="00167371" w:rsidRPr="00A64D2A">
        <w:rPr>
          <w:sz w:val="18"/>
        </w:rPr>
        <w:t>Adopted:  7/1/</w:t>
      </w:r>
      <w:r w:rsidR="003D3A8A">
        <w:rPr>
          <w:sz w:val="18"/>
        </w:rPr>
        <w:t>20</w:t>
      </w:r>
      <w:r w:rsidR="00167371" w:rsidRPr="00A64D2A">
        <w:rPr>
          <w:sz w:val="18"/>
        </w:rPr>
        <w:t>03</w:t>
      </w:r>
    </w:p>
    <w:p w14:paraId="39431DBE" w14:textId="77777777" w:rsidR="00167371" w:rsidRDefault="00E02589">
      <w:pPr>
        <w:tabs>
          <w:tab w:val="left" w:pos="547"/>
          <w:tab w:val="left" w:pos="1080"/>
          <w:tab w:val="left" w:pos="1440"/>
          <w:tab w:val="left" w:pos="4507"/>
          <w:tab w:val="left" w:pos="7200"/>
          <w:tab w:val="left" w:pos="9000"/>
        </w:tabs>
        <w:jc w:val="both"/>
        <w:rPr>
          <w:sz w:val="18"/>
        </w:rPr>
      </w:pPr>
      <w:r w:rsidRPr="00A64D2A">
        <w:rPr>
          <w:sz w:val="18"/>
        </w:rPr>
        <w:t>Re</w:t>
      </w:r>
      <w:r w:rsidR="00A64D2A">
        <w:rPr>
          <w:sz w:val="18"/>
        </w:rPr>
        <w:t>adopt</w:t>
      </w:r>
      <w:r w:rsidRPr="00A64D2A">
        <w:rPr>
          <w:sz w:val="18"/>
        </w:rPr>
        <w:t>ed</w:t>
      </w:r>
      <w:r w:rsidR="00167371" w:rsidRPr="00A64D2A">
        <w:rPr>
          <w:sz w:val="18"/>
        </w:rPr>
        <w:t xml:space="preserve">:  </w:t>
      </w:r>
      <w:r w:rsidR="00A501E5" w:rsidRPr="00A64D2A">
        <w:rPr>
          <w:sz w:val="18"/>
        </w:rPr>
        <w:t>12/21/</w:t>
      </w:r>
      <w:r w:rsidR="003D3A8A">
        <w:rPr>
          <w:sz w:val="18"/>
        </w:rPr>
        <w:t>20</w:t>
      </w:r>
      <w:r w:rsidR="00A501E5" w:rsidRPr="00A64D2A">
        <w:rPr>
          <w:sz w:val="18"/>
        </w:rPr>
        <w:t>06</w:t>
      </w:r>
    </w:p>
    <w:p w14:paraId="5ED8E12E" w14:textId="77777777" w:rsidR="00A64D2A" w:rsidRDefault="00A64D2A">
      <w:pPr>
        <w:tabs>
          <w:tab w:val="left" w:pos="547"/>
          <w:tab w:val="left" w:pos="1080"/>
          <w:tab w:val="left" w:pos="1440"/>
          <w:tab w:val="left" w:pos="4507"/>
          <w:tab w:val="left" w:pos="7200"/>
          <w:tab w:val="left" w:pos="9000"/>
        </w:tabs>
        <w:jc w:val="both"/>
        <w:rPr>
          <w:sz w:val="18"/>
        </w:rPr>
      </w:pPr>
      <w:r>
        <w:rPr>
          <w:sz w:val="18"/>
        </w:rPr>
        <w:t>Readopted:  7/11/</w:t>
      </w:r>
      <w:r w:rsidR="003D3A8A">
        <w:rPr>
          <w:sz w:val="18"/>
        </w:rPr>
        <w:t>20</w:t>
      </w:r>
      <w:r>
        <w:rPr>
          <w:sz w:val="18"/>
        </w:rPr>
        <w:t>07</w:t>
      </w:r>
    </w:p>
    <w:p w14:paraId="414395C6" w14:textId="77777777" w:rsidR="00DD2C45" w:rsidRDefault="00DD2C45">
      <w:pPr>
        <w:tabs>
          <w:tab w:val="left" w:pos="547"/>
          <w:tab w:val="left" w:pos="1080"/>
          <w:tab w:val="left" w:pos="1440"/>
          <w:tab w:val="left" w:pos="4507"/>
          <w:tab w:val="left" w:pos="7200"/>
          <w:tab w:val="left" w:pos="9000"/>
        </w:tabs>
        <w:jc w:val="both"/>
        <w:rPr>
          <w:sz w:val="18"/>
        </w:rPr>
      </w:pPr>
      <w:r>
        <w:rPr>
          <w:sz w:val="18"/>
        </w:rPr>
        <w:t xml:space="preserve">Readopted:  </w:t>
      </w:r>
      <w:r w:rsidR="001D44F6">
        <w:rPr>
          <w:sz w:val="18"/>
        </w:rPr>
        <w:t>2/11/</w:t>
      </w:r>
      <w:r w:rsidR="003D3A8A">
        <w:rPr>
          <w:sz w:val="18"/>
        </w:rPr>
        <w:t>20</w:t>
      </w:r>
      <w:r w:rsidR="001D44F6">
        <w:rPr>
          <w:sz w:val="18"/>
        </w:rPr>
        <w:t>09</w:t>
      </w:r>
    </w:p>
    <w:p w14:paraId="58D5B4A1" w14:textId="77777777" w:rsidR="00DA08C7" w:rsidRDefault="00DA08C7">
      <w:pPr>
        <w:tabs>
          <w:tab w:val="left" w:pos="547"/>
          <w:tab w:val="left" w:pos="1080"/>
          <w:tab w:val="left" w:pos="1440"/>
          <w:tab w:val="left" w:pos="4507"/>
          <w:tab w:val="left" w:pos="7200"/>
          <w:tab w:val="left" w:pos="9000"/>
        </w:tabs>
        <w:jc w:val="both"/>
        <w:rPr>
          <w:sz w:val="18"/>
        </w:rPr>
      </w:pPr>
      <w:r>
        <w:rPr>
          <w:sz w:val="18"/>
        </w:rPr>
        <w:t xml:space="preserve">Readopted:  </w:t>
      </w:r>
      <w:r w:rsidR="00CC47CE">
        <w:rPr>
          <w:sz w:val="18"/>
        </w:rPr>
        <w:t>12/21/</w:t>
      </w:r>
      <w:r w:rsidR="003D3A8A">
        <w:rPr>
          <w:sz w:val="18"/>
        </w:rPr>
        <w:t>20</w:t>
      </w:r>
      <w:r w:rsidR="00CC47CE">
        <w:rPr>
          <w:sz w:val="18"/>
        </w:rPr>
        <w:t>11</w:t>
      </w:r>
    </w:p>
    <w:p w14:paraId="197F6D51" w14:textId="77777777" w:rsidR="003A41ED" w:rsidRDefault="003A41ED">
      <w:pPr>
        <w:tabs>
          <w:tab w:val="left" w:pos="547"/>
          <w:tab w:val="left" w:pos="1080"/>
          <w:tab w:val="left" w:pos="1440"/>
          <w:tab w:val="left" w:pos="4507"/>
          <w:tab w:val="left" w:pos="7200"/>
          <w:tab w:val="left" w:pos="9000"/>
        </w:tabs>
        <w:jc w:val="both"/>
        <w:rPr>
          <w:sz w:val="18"/>
        </w:rPr>
      </w:pPr>
      <w:r>
        <w:rPr>
          <w:sz w:val="18"/>
        </w:rPr>
        <w:t xml:space="preserve">Readopted:  </w:t>
      </w:r>
      <w:r w:rsidR="007D1D84">
        <w:rPr>
          <w:sz w:val="18"/>
        </w:rPr>
        <w:t>10/17/</w:t>
      </w:r>
      <w:r w:rsidR="003D3A8A">
        <w:rPr>
          <w:sz w:val="18"/>
        </w:rPr>
        <w:t>20</w:t>
      </w:r>
      <w:r w:rsidR="007D1D84">
        <w:rPr>
          <w:sz w:val="18"/>
        </w:rPr>
        <w:t>12</w:t>
      </w:r>
    </w:p>
    <w:p w14:paraId="48917452" w14:textId="77777777" w:rsidR="00371EB0" w:rsidRDefault="00371EB0">
      <w:pPr>
        <w:tabs>
          <w:tab w:val="left" w:pos="547"/>
          <w:tab w:val="left" w:pos="1080"/>
          <w:tab w:val="left" w:pos="1440"/>
          <w:tab w:val="left" w:pos="4507"/>
          <w:tab w:val="left" w:pos="7200"/>
          <w:tab w:val="left" w:pos="9000"/>
        </w:tabs>
        <w:jc w:val="both"/>
        <w:rPr>
          <w:sz w:val="18"/>
        </w:rPr>
      </w:pPr>
      <w:r>
        <w:rPr>
          <w:sz w:val="18"/>
        </w:rPr>
        <w:t xml:space="preserve">Readopted:  </w:t>
      </w:r>
      <w:r w:rsidR="003D3A8A">
        <w:rPr>
          <w:sz w:val="18"/>
        </w:rPr>
        <w:t>4/30/2014</w:t>
      </w:r>
    </w:p>
    <w:p w14:paraId="0F285AF6" w14:textId="0F9817CA" w:rsidR="00A61111" w:rsidRDefault="00A61111">
      <w:pPr>
        <w:tabs>
          <w:tab w:val="left" w:pos="547"/>
          <w:tab w:val="left" w:pos="1080"/>
          <w:tab w:val="left" w:pos="1440"/>
          <w:tab w:val="left" w:pos="4507"/>
          <w:tab w:val="left" w:pos="7200"/>
          <w:tab w:val="left" w:pos="9000"/>
        </w:tabs>
        <w:jc w:val="both"/>
        <w:rPr>
          <w:sz w:val="18"/>
        </w:rPr>
      </w:pPr>
      <w:r>
        <w:rPr>
          <w:sz w:val="18"/>
        </w:rPr>
        <w:t xml:space="preserve">Readopted:  </w:t>
      </w:r>
      <w:r w:rsidR="00720711">
        <w:rPr>
          <w:sz w:val="18"/>
        </w:rPr>
        <w:t>11/14/</w:t>
      </w:r>
      <w:r w:rsidR="00D26B54">
        <w:rPr>
          <w:sz w:val="18"/>
        </w:rPr>
        <w:t>20</w:t>
      </w:r>
      <w:r w:rsidR="00720711">
        <w:rPr>
          <w:sz w:val="18"/>
        </w:rPr>
        <w:t>18</w:t>
      </w:r>
    </w:p>
    <w:p w14:paraId="331A2405" w14:textId="613E3A62" w:rsidR="00315E9E" w:rsidRDefault="00315E9E">
      <w:pPr>
        <w:tabs>
          <w:tab w:val="left" w:pos="547"/>
          <w:tab w:val="left" w:pos="1080"/>
          <w:tab w:val="left" w:pos="1440"/>
          <w:tab w:val="left" w:pos="4507"/>
          <w:tab w:val="left" w:pos="7200"/>
          <w:tab w:val="left" w:pos="9000"/>
        </w:tabs>
        <w:jc w:val="both"/>
        <w:rPr>
          <w:sz w:val="18"/>
        </w:rPr>
      </w:pPr>
      <w:r>
        <w:rPr>
          <w:sz w:val="18"/>
        </w:rPr>
        <w:t>Readopted:  5/15/</w:t>
      </w:r>
      <w:r w:rsidR="00D26B54">
        <w:rPr>
          <w:sz w:val="18"/>
        </w:rPr>
        <w:t>20</w:t>
      </w:r>
      <w:r>
        <w:rPr>
          <w:sz w:val="18"/>
        </w:rPr>
        <w:t>19</w:t>
      </w:r>
    </w:p>
    <w:p w14:paraId="10C2B1A6" w14:textId="78FD9EA4" w:rsidR="00C029D0" w:rsidRDefault="00C029D0">
      <w:pPr>
        <w:tabs>
          <w:tab w:val="left" w:pos="547"/>
          <w:tab w:val="left" w:pos="1080"/>
          <w:tab w:val="left" w:pos="1440"/>
          <w:tab w:val="left" w:pos="4507"/>
          <w:tab w:val="left" w:pos="7200"/>
          <w:tab w:val="left" w:pos="9000"/>
        </w:tabs>
        <w:jc w:val="both"/>
        <w:rPr>
          <w:sz w:val="18"/>
        </w:rPr>
      </w:pPr>
      <w:r>
        <w:rPr>
          <w:sz w:val="18"/>
        </w:rPr>
        <w:t xml:space="preserve">Adopted as revised: </w:t>
      </w:r>
      <w:r w:rsidR="000F5314">
        <w:rPr>
          <w:sz w:val="18"/>
        </w:rPr>
        <w:t xml:space="preserve"> 7</w:t>
      </w:r>
      <w:r>
        <w:rPr>
          <w:sz w:val="18"/>
        </w:rPr>
        <w:t>/</w:t>
      </w:r>
      <w:r w:rsidR="000F5314">
        <w:rPr>
          <w:sz w:val="18"/>
        </w:rPr>
        <w:t>8</w:t>
      </w:r>
      <w:r>
        <w:rPr>
          <w:sz w:val="18"/>
        </w:rPr>
        <w:t>/2020</w:t>
      </w:r>
    </w:p>
    <w:p w14:paraId="1A365BCC" w14:textId="77777777" w:rsidR="00167371" w:rsidRPr="00A64D2A" w:rsidRDefault="00167371">
      <w:pPr>
        <w:keepNext/>
      </w:pPr>
    </w:p>
    <w:sectPr w:rsidR="00167371" w:rsidRPr="00A64D2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53F5" w14:textId="77777777" w:rsidR="00AD21C1" w:rsidRDefault="00AD21C1">
      <w:r>
        <w:separator/>
      </w:r>
    </w:p>
  </w:endnote>
  <w:endnote w:type="continuationSeparator" w:id="0">
    <w:p w14:paraId="21D1752C" w14:textId="77777777" w:rsidR="00AD21C1" w:rsidRDefault="00AD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19D57" w14:textId="77777777" w:rsidR="00AD21C1" w:rsidRDefault="00AD21C1">
      <w:r>
        <w:separator/>
      </w:r>
    </w:p>
  </w:footnote>
  <w:footnote w:type="continuationSeparator" w:id="0">
    <w:p w14:paraId="6E8395D2" w14:textId="77777777" w:rsidR="00AD21C1" w:rsidRDefault="00AD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B741" w14:textId="37F3054F" w:rsidR="006E3F5F" w:rsidRDefault="006E3F5F">
    <w:pPr>
      <w:pStyle w:val="Header"/>
      <w:jc w:val="right"/>
      <w:rPr>
        <w:b/>
        <w:bCs/>
        <w:sz w:val="20"/>
      </w:rPr>
    </w:pPr>
    <w:r>
      <w:rPr>
        <w:b/>
        <w:bCs/>
        <w:sz w:val="20"/>
      </w:rPr>
      <w:t xml:space="preserve">Policy 5121 – </w:t>
    </w:r>
    <w:r w:rsidR="006A2782">
      <w:rPr>
        <w:b/>
        <w:bCs/>
        <w:sz w:val="20"/>
      </w:rPr>
      <w:t>Non-Discrimination and Anti-Harassment</w:t>
    </w:r>
  </w:p>
  <w:p w14:paraId="3CF0F408" w14:textId="41D828E0" w:rsidR="006E3F5F" w:rsidRDefault="006E3F5F">
    <w:pPr>
      <w:pStyle w:val="Header"/>
      <w:jc w:val="right"/>
      <w:rPr>
        <w:rStyle w:val="PageNumber"/>
        <w:b/>
        <w:bCs/>
        <w:sz w:val="20"/>
      </w:rPr>
    </w:pPr>
    <w:r>
      <w:rPr>
        <w:b/>
        <w:bCs/>
        <w:sz w:val="20"/>
      </w:rP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1003C">
      <w:rPr>
        <w:rStyle w:val="PageNumber"/>
        <w:b/>
        <w:bCs/>
        <w:noProof/>
        <w:sz w:val="20"/>
      </w:rPr>
      <w:t>8</w:t>
    </w:r>
    <w:r>
      <w:rPr>
        <w:rStyle w:val="PageNumber"/>
        <w:b/>
        <w:bCs/>
        <w:sz w:val="20"/>
      </w:rPr>
      <w:fldChar w:fldCharType="end"/>
    </w:r>
    <w:r>
      <w:rPr>
        <w:rStyle w:val="PageNumber"/>
        <w:b/>
        <w:bCs/>
        <w:sz w:val="20"/>
      </w:rPr>
      <w:t xml:space="preserve"> of </w:t>
    </w:r>
    <w:r w:rsidR="000F5314">
      <w:rPr>
        <w:rStyle w:val="PageNumber"/>
        <w:b/>
        <w:bCs/>
        <w:sz w:val="20"/>
      </w:rPr>
      <w:t>8</w:t>
    </w:r>
  </w:p>
  <w:p w14:paraId="02CEB253" w14:textId="77777777" w:rsidR="006E3F5F" w:rsidRDefault="006E3F5F">
    <w:pPr>
      <w:pStyle w:val="Header"/>
      <w:jc w:val="right"/>
      <w:rPr>
        <w:rStyle w:val="PageNumber"/>
        <w:sz w:val="20"/>
      </w:rPr>
    </w:pPr>
  </w:p>
  <w:p w14:paraId="4E9BBE58" w14:textId="77777777" w:rsidR="006E3F5F" w:rsidRDefault="006E3F5F">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2ABE" w14:textId="2F22BB07" w:rsidR="006E3F5F" w:rsidRPr="00D70A03" w:rsidRDefault="00A61111" w:rsidP="00D70A03">
    <w:pPr>
      <w:pStyle w:val="Header"/>
      <w:jc w:val="right"/>
      <w:rPr>
        <w:b/>
        <w:sz w:val="20"/>
      </w:rPr>
    </w:pPr>
    <w:r>
      <w:rPr>
        <w:b/>
        <w:noProof/>
        <w:sz w:val="20"/>
      </w:rPr>
      <mc:AlternateContent>
        <mc:Choice Requires="wps">
          <w:drawing>
            <wp:anchor distT="0" distB="0" distL="114300" distR="114300" simplePos="0" relativeHeight="251656192" behindDoc="0" locked="0" layoutInCell="1" allowOverlap="1" wp14:anchorId="48E24E0A" wp14:editId="626DD71B">
              <wp:simplePos x="0" y="0"/>
              <wp:positionH relativeFrom="column">
                <wp:posOffset>1906172</wp:posOffset>
              </wp:positionH>
              <wp:positionV relativeFrom="paragraph">
                <wp:posOffset>112542</wp:posOffset>
              </wp:positionV>
              <wp:extent cx="1244991" cy="12573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991"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7D258" w14:textId="77777777" w:rsidR="006E3F5F" w:rsidRDefault="006E3F5F" w:rsidP="00D70A03">
                          <w:pPr>
                            <w:rPr>
                              <w:rFonts w:ascii="Arial Narrow" w:hAnsi="Arial Narrow"/>
                              <w:sz w:val="32"/>
                              <w:szCs w:val="32"/>
                            </w:rPr>
                          </w:pPr>
                          <w:r w:rsidRPr="001731CB">
                            <w:rPr>
                              <w:rFonts w:ascii="Arial Narrow" w:hAnsi="Arial Narrow"/>
                              <w:sz w:val="72"/>
                              <w:szCs w:val="72"/>
                            </w:rPr>
                            <w:t>Board</w:t>
                          </w:r>
                        </w:p>
                        <w:p w14:paraId="46ED609F" w14:textId="77777777" w:rsidR="006E3F5F" w:rsidRDefault="006E3F5F" w:rsidP="00D70A03">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24E0A" id="_x0000_t202" coordsize="21600,21600" o:spt="202" path="m,l,21600r21600,l21600,xe">
              <v:stroke joinstyle="miter"/>
              <v:path gradientshapeok="t" o:connecttype="rect"/>
            </v:shapetype>
            <v:shape id="Text Box 7" o:spid="_x0000_s1026" type="#_x0000_t202" style="position:absolute;left:0;text-align:left;margin-left:150.1pt;margin-top:8.85pt;width:98.0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lgwIAABc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" stroked="f">
              <v:textbox>
                <w:txbxContent>
                  <w:p w14:paraId="6217D258" w14:textId="77777777" w:rsidR="006E3F5F" w:rsidRDefault="006E3F5F" w:rsidP="00D70A03">
                    <w:pPr>
                      <w:rPr>
                        <w:rFonts w:ascii="Arial Narrow" w:hAnsi="Arial Narrow"/>
                        <w:sz w:val="32"/>
                        <w:szCs w:val="32"/>
                      </w:rPr>
                    </w:pPr>
                    <w:r w:rsidRPr="001731CB">
                      <w:rPr>
                        <w:rFonts w:ascii="Arial Narrow" w:hAnsi="Arial Narrow"/>
                        <w:sz w:val="72"/>
                        <w:szCs w:val="72"/>
                      </w:rPr>
                      <w:t>Board</w:t>
                    </w:r>
                  </w:p>
                  <w:p w14:paraId="46ED609F" w14:textId="77777777" w:rsidR="006E3F5F" w:rsidRDefault="006E3F5F" w:rsidP="00D70A03">
                    <w:pPr>
                      <w:rPr>
                        <w:rFonts w:ascii="Arial Narrow" w:hAnsi="Arial Narrow"/>
                        <w:sz w:val="72"/>
                        <w:szCs w:val="72"/>
                      </w:rPr>
                    </w:pPr>
                    <w:r>
                      <w:rPr>
                        <w:rFonts w:ascii="Arial Narrow" w:hAnsi="Arial Narrow"/>
                        <w:sz w:val="72"/>
                        <w:szCs w:val="72"/>
                      </w:rPr>
                      <w:t>Policy</w:t>
                    </w:r>
                  </w:p>
                </w:txbxContent>
              </v:textbox>
            </v:shape>
          </w:pict>
        </mc:Fallback>
      </mc:AlternateContent>
    </w:r>
    <w:r w:rsidR="000A3238">
      <w:rPr>
        <w:b/>
        <w:noProof/>
        <w:sz w:val="20"/>
      </w:rPr>
      <mc:AlternateContent>
        <mc:Choice Requires="wps">
          <w:drawing>
            <wp:anchor distT="0" distB="0" distL="114300" distR="114300" simplePos="0" relativeHeight="251659264" behindDoc="0" locked="0" layoutInCell="1" allowOverlap="1" wp14:anchorId="0F520C53" wp14:editId="59AF74B0">
              <wp:simplePos x="0" y="0"/>
              <wp:positionH relativeFrom="column">
                <wp:posOffset>-95250</wp:posOffset>
              </wp:positionH>
              <wp:positionV relativeFrom="paragraph">
                <wp:posOffset>-66675</wp:posOffset>
              </wp:positionV>
              <wp:extent cx="1741805" cy="1033145"/>
              <wp:effectExtent l="0" t="0" r="127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4E8B4" w14:textId="77777777" w:rsidR="006E3F5F" w:rsidRDefault="000A3238" w:rsidP="00D70A03">
                          <w:r>
                            <w:rPr>
                              <w:noProof/>
                            </w:rPr>
                            <w:drawing>
                              <wp:inline distT="0" distB="0" distL="0" distR="0" wp14:anchorId="32A22084" wp14:editId="10C62BC4">
                                <wp:extent cx="1561465" cy="938530"/>
                                <wp:effectExtent l="0" t="0" r="635" b="0"/>
                                <wp:docPr id="7"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38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20C53" id="Text Box 10" o:spid="_x0000_s1028"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hXgwIAABY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" stroked="f">
              <v:textbox style="mso-fit-shape-to-text:t">
                <w:txbxContent>
                  <w:p w14:paraId="7884E8B4" w14:textId="77777777" w:rsidR="006E3F5F" w:rsidRDefault="000A3238" w:rsidP="00D70A03">
                    <w:r>
                      <w:rPr>
                        <w:noProof/>
                      </w:rPr>
                      <w:drawing>
                        <wp:inline distT="0" distB="0" distL="0" distR="0" wp14:anchorId="32A22084" wp14:editId="10C62BC4">
                          <wp:extent cx="1561465" cy="938530"/>
                          <wp:effectExtent l="0" t="0" r="63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1465" cy="938530"/>
                                  </a:xfrm>
                                  <a:prstGeom prst="rect">
                                    <a:avLst/>
                                  </a:prstGeom>
                                  <a:noFill/>
                                  <a:ln>
                                    <a:noFill/>
                                  </a:ln>
                                </pic:spPr>
                              </pic:pic>
                            </a:graphicData>
                          </a:graphic>
                        </wp:inline>
                      </w:drawing>
                    </w:r>
                  </w:p>
                </w:txbxContent>
              </v:textbox>
            </v:shape>
          </w:pict>
        </mc:Fallback>
      </mc:AlternateContent>
    </w:r>
    <w:r w:rsidR="000A3238">
      <w:rPr>
        <w:noProof/>
        <w:sz w:val="20"/>
      </w:rPr>
      <mc:AlternateContent>
        <mc:Choice Requires="wps">
          <w:drawing>
            <wp:anchor distT="0" distB="0" distL="114300" distR="114300" simplePos="0" relativeHeight="251658240" behindDoc="0" locked="0" layoutInCell="1" allowOverlap="1" wp14:anchorId="3B1C680B" wp14:editId="4BD03B3F">
              <wp:simplePos x="0" y="0"/>
              <wp:positionH relativeFrom="column">
                <wp:posOffset>1828800</wp:posOffset>
              </wp:positionH>
              <wp:positionV relativeFrom="paragraph">
                <wp:posOffset>-38100</wp:posOffset>
              </wp:positionV>
              <wp:extent cx="0" cy="1581785"/>
              <wp:effectExtent l="19050" t="19050" r="19050" b="2794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22AF3"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I9Dqx8S&#10;AgAAKQQAAA4AAAAAAAAAAAAAAAAALgIAAGRycy9lMm9Eb2MueG1sUEsBAi0AFAAGAAgAAAAhAMUc&#10;x2LbAAAACgEAAA8AAAAAAAAAAAAAAAAAbAQAAGRycy9kb3ducmV2LnhtbFBLBQYAAAAABAAEAPMA&#10;AAB0BQAAAAA=&#10;" strokeweight="3pt"/>
          </w:pict>
        </mc:Fallback>
      </mc:AlternateContent>
    </w:r>
    <w:r w:rsidR="006E3F5F" w:rsidRPr="00D70A03">
      <w:rPr>
        <w:b/>
        <w:sz w:val="20"/>
      </w:rPr>
      <w:t>5</w:t>
    </w:r>
    <w:r w:rsidR="006E3F5F">
      <w:rPr>
        <w:b/>
        <w:sz w:val="20"/>
      </w:rPr>
      <w:t>121</w:t>
    </w:r>
  </w:p>
  <w:p w14:paraId="0043A2F4" w14:textId="34B57243" w:rsidR="006E3F5F" w:rsidRPr="00D70A03" w:rsidRDefault="006E3F5F" w:rsidP="00D70A03">
    <w:pPr>
      <w:pStyle w:val="Header"/>
      <w:jc w:val="right"/>
      <w:rPr>
        <w:b/>
        <w:sz w:val="20"/>
      </w:rPr>
    </w:pPr>
    <w:r w:rsidRPr="00D70A03">
      <w:rPr>
        <w:b/>
        <w:sz w:val="20"/>
      </w:rPr>
      <w:t xml:space="preserve">Page </w:t>
    </w:r>
    <w:r w:rsidRPr="00D70A03">
      <w:rPr>
        <w:b/>
        <w:sz w:val="20"/>
      </w:rPr>
      <w:fldChar w:fldCharType="begin"/>
    </w:r>
    <w:r w:rsidRPr="00D70A03">
      <w:rPr>
        <w:b/>
        <w:sz w:val="20"/>
      </w:rPr>
      <w:instrText xml:space="preserve"> PAGE </w:instrText>
    </w:r>
    <w:r w:rsidRPr="00D70A03">
      <w:rPr>
        <w:b/>
        <w:sz w:val="20"/>
      </w:rPr>
      <w:fldChar w:fldCharType="separate"/>
    </w:r>
    <w:r w:rsidR="0041003C">
      <w:rPr>
        <w:b/>
        <w:noProof/>
        <w:sz w:val="20"/>
      </w:rPr>
      <w:t>1</w:t>
    </w:r>
    <w:r w:rsidRPr="00D70A03">
      <w:rPr>
        <w:b/>
        <w:sz w:val="20"/>
      </w:rPr>
      <w:fldChar w:fldCharType="end"/>
    </w:r>
    <w:r w:rsidRPr="00D70A03">
      <w:rPr>
        <w:b/>
        <w:sz w:val="20"/>
      </w:rPr>
      <w:t xml:space="preserve"> of </w:t>
    </w:r>
    <w:r w:rsidR="000F5314">
      <w:rPr>
        <w:b/>
        <w:sz w:val="20"/>
      </w:rPr>
      <w:t>8</w:t>
    </w:r>
  </w:p>
  <w:p w14:paraId="3DCF1BB8" w14:textId="77777777" w:rsidR="006E3F5F" w:rsidRDefault="006E3F5F" w:rsidP="00D70A03">
    <w:pPr>
      <w:pStyle w:val="Header"/>
      <w:jc w:val="right"/>
      <w:rPr>
        <w:b/>
      </w:rPr>
    </w:pPr>
  </w:p>
  <w:p w14:paraId="4D673AB6" w14:textId="77777777" w:rsidR="006E3F5F" w:rsidRDefault="006E3F5F" w:rsidP="00D70A03">
    <w:pPr>
      <w:pStyle w:val="Header"/>
      <w:jc w:val="right"/>
      <w:rPr>
        <w:b/>
      </w:rPr>
    </w:pPr>
  </w:p>
  <w:p w14:paraId="60B3B9E8" w14:textId="12612502" w:rsidR="0095272D" w:rsidRDefault="0095272D" w:rsidP="0095272D">
    <w:pPr>
      <w:pStyle w:val="Header"/>
      <w:jc w:val="right"/>
      <w:rPr>
        <w:b/>
        <w:sz w:val="24"/>
      </w:rPr>
    </w:pPr>
    <w:r>
      <w:rPr>
        <w:b/>
        <w:sz w:val="24"/>
      </w:rPr>
      <w:t xml:space="preserve"> Non-Discrimination and</w:t>
    </w:r>
  </w:p>
  <w:p w14:paraId="2E1822DE" w14:textId="54B324D4" w:rsidR="006E3F5F" w:rsidRPr="00D70A03" w:rsidRDefault="0095272D" w:rsidP="0095272D">
    <w:pPr>
      <w:pStyle w:val="Header"/>
      <w:jc w:val="right"/>
      <w:rPr>
        <w:b/>
        <w:sz w:val="24"/>
      </w:rPr>
    </w:pPr>
    <w:r>
      <w:rPr>
        <w:b/>
        <w:sz w:val="24"/>
      </w:rPr>
      <w:t>Anti-Harassment</w:t>
    </w:r>
  </w:p>
  <w:p w14:paraId="6EFE7663" w14:textId="77777777" w:rsidR="006E3F5F" w:rsidRPr="000A78A3" w:rsidRDefault="006E3F5F" w:rsidP="006A45A1">
    <w:pPr>
      <w:pStyle w:val="Header"/>
      <w:jc w:val="right"/>
      <w:rPr>
        <w:b/>
        <w:sz w:val="24"/>
      </w:rPr>
    </w:pPr>
    <w:r>
      <w:rPr>
        <w:b/>
        <w:sz w:val="24"/>
      </w:rPr>
      <w:tab/>
    </w:r>
    <w:r>
      <w:rPr>
        <w:b/>
        <w:sz w:val="24"/>
      </w:rPr>
      <w:tab/>
    </w:r>
    <w:r>
      <w:rPr>
        <w:b/>
        <w:sz w:val="24"/>
      </w:rPr>
      <w:tab/>
    </w:r>
  </w:p>
  <w:p w14:paraId="3310A8B4" w14:textId="77777777" w:rsidR="006E3F5F" w:rsidRDefault="006E3F5F" w:rsidP="00D70A03">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2124DB3B" w14:textId="77777777" w:rsidR="006E3F5F" w:rsidRDefault="006E3F5F" w:rsidP="00D70A03">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1DFB381C" w14:textId="77777777" w:rsidR="006E3F5F" w:rsidRDefault="006E3F5F" w:rsidP="00D70A03">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49A43D33" w14:textId="77777777" w:rsidR="006E3F5F" w:rsidRPr="008D1520" w:rsidRDefault="006E3F5F" w:rsidP="00D70A03">
    <w:pPr>
      <w:pStyle w:val="Header"/>
      <w:rPr>
        <w:rFonts w:ascii="Arial Narrow" w:hAnsi="Arial Narrow"/>
        <w:sz w:val="10"/>
        <w:szCs w:val="16"/>
      </w:rPr>
    </w:pPr>
  </w:p>
  <w:p w14:paraId="3CCC9BC1" w14:textId="77777777" w:rsidR="006E3F5F" w:rsidRPr="000A78A3" w:rsidRDefault="000A3238" w:rsidP="00D70A03">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0E7DC425" wp14:editId="09DA7445">
              <wp:simplePos x="0" y="0"/>
              <wp:positionH relativeFrom="column">
                <wp:posOffset>0</wp:posOffset>
              </wp:positionH>
              <wp:positionV relativeFrom="paragraph">
                <wp:posOffset>-2540</wp:posOffset>
              </wp:positionV>
              <wp:extent cx="5943600" cy="0"/>
              <wp:effectExtent l="19050" t="26035" r="19050" b="215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ECF80"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A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e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geohwB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638"/>
    <w:multiLevelType w:val="singleLevel"/>
    <w:tmpl w:val="6010C952"/>
    <w:lvl w:ilvl="0">
      <w:start w:val="1"/>
      <w:numFmt w:val="lowerLetter"/>
      <w:lvlText w:val="%1)"/>
      <w:lvlJc w:val="left"/>
      <w:pPr>
        <w:tabs>
          <w:tab w:val="num" w:pos="1080"/>
        </w:tabs>
        <w:ind w:left="1080" w:hanging="540"/>
      </w:pPr>
      <w:rPr>
        <w:rFonts w:hint="default"/>
      </w:rPr>
    </w:lvl>
  </w:abstractNum>
  <w:abstractNum w:abstractNumId="1"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424677"/>
    <w:multiLevelType w:val="hybridMultilevel"/>
    <w:tmpl w:val="10AE2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984D59"/>
    <w:multiLevelType w:val="hybridMultilevel"/>
    <w:tmpl w:val="21006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C14E59"/>
    <w:multiLevelType w:val="hybridMultilevel"/>
    <w:tmpl w:val="FB72DF64"/>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42045"/>
    <w:multiLevelType w:val="hybridMultilevel"/>
    <w:tmpl w:val="6C20A2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ddlBEYFA9xJw8TW9s8q3cY0VfFDnoh3Cf+/MD19TcvSRf7eyYP1RBlqT/NbnzUKWMBwIoc35rX4ZYkVEa6J1A==" w:salt="zEpk/nekMfKuKH7sf8TRhQ=="/>
  <w:defaultTabStop w:val="720"/>
  <w:drawingGridHorizontalSpacing w:val="110"/>
  <w:displayHorizontalDrawingGridEvery w:val="2"/>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89"/>
    <w:rsid w:val="00033AB1"/>
    <w:rsid w:val="00034737"/>
    <w:rsid w:val="00042978"/>
    <w:rsid w:val="00073CB6"/>
    <w:rsid w:val="000879AF"/>
    <w:rsid w:val="000A3238"/>
    <w:rsid w:val="000F5314"/>
    <w:rsid w:val="00100B87"/>
    <w:rsid w:val="00110367"/>
    <w:rsid w:val="00160691"/>
    <w:rsid w:val="00166199"/>
    <w:rsid w:val="00167371"/>
    <w:rsid w:val="001865FE"/>
    <w:rsid w:val="001B5585"/>
    <w:rsid w:val="001B787F"/>
    <w:rsid w:val="001D44F6"/>
    <w:rsid w:val="001E42D1"/>
    <w:rsid w:val="00252904"/>
    <w:rsid w:val="00253EE8"/>
    <w:rsid w:val="002630AA"/>
    <w:rsid w:val="002741E8"/>
    <w:rsid w:val="002E18E3"/>
    <w:rsid w:val="00315E9E"/>
    <w:rsid w:val="00323656"/>
    <w:rsid w:val="003254D9"/>
    <w:rsid w:val="0035464C"/>
    <w:rsid w:val="003634D7"/>
    <w:rsid w:val="00371EB0"/>
    <w:rsid w:val="003744CB"/>
    <w:rsid w:val="00383693"/>
    <w:rsid w:val="00396571"/>
    <w:rsid w:val="003A41ED"/>
    <w:rsid w:val="003B2D41"/>
    <w:rsid w:val="003C1FC1"/>
    <w:rsid w:val="003D3A8A"/>
    <w:rsid w:val="003F2545"/>
    <w:rsid w:val="003F43CC"/>
    <w:rsid w:val="0041003C"/>
    <w:rsid w:val="0041082F"/>
    <w:rsid w:val="00430CB2"/>
    <w:rsid w:val="00444928"/>
    <w:rsid w:val="00476760"/>
    <w:rsid w:val="00483C69"/>
    <w:rsid w:val="004A205E"/>
    <w:rsid w:val="004B4483"/>
    <w:rsid w:val="004E222E"/>
    <w:rsid w:val="00524C96"/>
    <w:rsid w:val="00525490"/>
    <w:rsid w:val="005421CB"/>
    <w:rsid w:val="0058179C"/>
    <w:rsid w:val="0058605D"/>
    <w:rsid w:val="00591E4D"/>
    <w:rsid w:val="005A1A8E"/>
    <w:rsid w:val="005B51E4"/>
    <w:rsid w:val="005B59EE"/>
    <w:rsid w:val="005C3EF7"/>
    <w:rsid w:val="005D5B6C"/>
    <w:rsid w:val="005E7C89"/>
    <w:rsid w:val="005F6B36"/>
    <w:rsid w:val="00606BC4"/>
    <w:rsid w:val="00632A55"/>
    <w:rsid w:val="00640488"/>
    <w:rsid w:val="00674817"/>
    <w:rsid w:val="00674A74"/>
    <w:rsid w:val="006974CE"/>
    <w:rsid w:val="006A2782"/>
    <w:rsid w:val="006A45A1"/>
    <w:rsid w:val="006B6162"/>
    <w:rsid w:val="006E3F5F"/>
    <w:rsid w:val="006E76A0"/>
    <w:rsid w:val="00720711"/>
    <w:rsid w:val="007404E6"/>
    <w:rsid w:val="007C4E76"/>
    <w:rsid w:val="007C5D0B"/>
    <w:rsid w:val="007D1D84"/>
    <w:rsid w:val="00812B08"/>
    <w:rsid w:val="00824707"/>
    <w:rsid w:val="008341BC"/>
    <w:rsid w:val="00835227"/>
    <w:rsid w:val="008547CA"/>
    <w:rsid w:val="008A1F4F"/>
    <w:rsid w:val="008A25AC"/>
    <w:rsid w:val="008B7A1A"/>
    <w:rsid w:val="008D0F7B"/>
    <w:rsid w:val="008E016E"/>
    <w:rsid w:val="008E530E"/>
    <w:rsid w:val="008E65C2"/>
    <w:rsid w:val="008F58DF"/>
    <w:rsid w:val="009117BD"/>
    <w:rsid w:val="0095272D"/>
    <w:rsid w:val="009772A9"/>
    <w:rsid w:val="009D0040"/>
    <w:rsid w:val="009D0903"/>
    <w:rsid w:val="00A10624"/>
    <w:rsid w:val="00A337C2"/>
    <w:rsid w:val="00A46FDE"/>
    <w:rsid w:val="00A501E5"/>
    <w:rsid w:val="00A61111"/>
    <w:rsid w:val="00A64D2A"/>
    <w:rsid w:val="00A7507A"/>
    <w:rsid w:val="00A848F8"/>
    <w:rsid w:val="00A85C12"/>
    <w:rsid w:val="00AB0F26"/>
    <w:rsid w:val="00AB11D7"/>
    <w:rsid w:val="00AD21C1"/>
    <w:rsid w:val="00AD3095"/>
    <w:rsid w:val="00AF0051"/>
    <w:rsid w:val="00AF50E1"/>
    <w:rsid w:val="00B04512"/>
    <w:rsid w:val="00B14335"/>
    <w:rsid w:val="00B17270"/>
    <w:rsid w:val="00B26792"/>
    <w:rsid w:val="00BC4E66"/>
    <w:rsid w:val="00C029D0"/>
    <w:rsid w:val="00C04F60"/>
    <w:rsid w:val="00C073CD"/>
    <w:rsid w:val="00C14EEB"/>
    <w:rsid w:val="00C2064D"/>
    <w:rsid w:val="00C208E3"/>
    <w:rsid w:val="00C56691"/>
    <w:rsid w:val="00C73972"/>
    <w:rsid w:val="00C876B0"/>
    <w:rsid w:val="00C95A8D"/>
    <w:rsid w:val="00CA2A87"/>
    <w:rsid w:val="00CC47CE"/>
    <w:rsid w:val="00CE11D8"/>
    <w:rsid w:val="00CE5540"/>
    <w:rsid w:val="00CF61F5"/>
    <w:rsid w:val="00D04932"/>
    <w:rsid w:val="00D26B54"/>
    <w:rsid w:val="00D3455F"/>
    <w:rsid w:val="00D56BF6"/>
    <w:rsid w:val="00D70A03"/>
    <w:rsid w:val="00D70DBD"/>
    <w:rsid w:val="00D77224"/>
    <w:rsid w:val="00D9153F"/>
    <w:rsid w:val="00DA08C7"/>
    <w:rsid w:val="00DD0B7F"/>
    <w:rsid w:val="00DD2C45"/>
    <w:rsid w:val="00DE22A1"/>
    <w:rsid w:val="00E02589"/>
    <w:rsid w:val="00E23A97"/>
    <w:rsid w:val="00E509F7"/>
    <w:rsid w:val="00E7432F"/>
    <w:rsid w:val="00E94542"/>
    <w:rsid w:val="00EB3147"/>
    <w:rsid w:val="00EE6F7E"/>
    <w:rsid w:val="00EF004E"/>
    <w:rsid w:val="00EF0C11"/>
    <w:rsid w:val="00F0024F"/>
    <w:rsid w:val="00F07E73"/>
    <w:rsid w:val="00F216D4"/>
    <w:rsid w:val="00F32184"/>
    <w:rsid w:val="00F51FB4"/>
    <w:rsid w:val="00FC7F70"/>
    <w:rsid w:val="00FD583C"/>
    <w:rsid w:val="00FF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82945"/>
    <o:shapelayout v:ext="edit">
      <o:idmap v:ext="edit" data="1"/>
    </o:shapelayout>
  </w:shapeDefaults>
  <w:decimalSymbol w:val="."/>
  <w:listSeparator w:val=","/>
  <w14:docId w14:val="48A87868"/>
  <w15:docId w15:val="{885D7E54-06F3-436E-8547-199274B5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utoCorrect">
    <w:name w:val="AutoCorrect"/>
    <w:rPr>
      <w:sz w:val="24"/>
      <w:szCs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17270"/>
    <w:rPr>
      <w:rFonts w:ascii="Tahoma" w:hAnsi="Tahoma" w:cs="Tahoma"/>
      <w:sz w:val="16"/>
      <w:szCs w:val="16"/>
    </w:rPr>
  </w:style>
  <w:style w:type="character" w:styleId="CommentReference">
    <w:name w:val="annotation reference"/>
    <w:rsid w:val="00033AB1"/>
    <w:rPr>
      <w:sz w:val="16"/>
      <w:szCs w:val="16"/>
    </w:rPr>
  </w:style>
  <w:style w:type="paragraph" w:styleId="CommentText">
    <w:name w:val="annotation text"/>
    <w:basedOn w:val="Normal"/>
    <w:link w:val="CommentTextChar"/>
    <w:rsid w:val="00033AB1"/>
    <w:rPr>
      <w:sz w:val="20"/>
      <w:szCs w:val="20"/>
    </w:rPr>
  </w:style>
  <w:style w:type="character" w:customStyle="1" w:styleId="CommentTextChar">
    <w:name w:val="Comment Text Char"/>
    <w:link w:val="CommentText"/>
    <w:rsid w:val="00033AB1"/>
    <w:rPr>
      <w:rFonts w:ascii="Arial" w:hAnsi="Arial"/>
    </w:rPr>
  </w:style>
  <w:style w:type="paragraph" w:styleId="CommentSubject">
    <w:name w:val="annotation subject"/>
    <w:basedOn w:val="CommentText"/>
    <w:next w:val="CommentText"/>
    <w:link w:val="CommentSubjectChar"/>
    <w:rsid w:val="00033AB1"/>
    <w:rPr>
      <w:b/>
      <w:bCs/>
    </w:rPr>
  </w:style>
  <w:style w:type="character" w:customStyle="1" w:styleId="CommentSubjectChar">
    <w:name w:val="Comment Subject Char"/>
    <w:link w:val="CommentSubject"/>
    <w:rsid w:val="00033AB1"/>
    <w:rPr>
      <w:rFonts w:ascii="Arial" w:hAnsi="Arial"/>
      <w:b/>
      <w:bCs/>
    </w:rPr>
  </w:style>
  <w:style w:type="paragraph" w:styleId="ListParagraph">
    <w:name w:val="List Paragraph"/>
    <w:basedOn w:val="Normal"/>
    <w:uiPriority w:val="34"/>
    <w:qFormat/>
    <w:rsid w:val="00A61111"/>
    <w:pPr>
      <w:ind w:left="720"/>
      <w:contextualSpacing/>
    </w:pPr>
    <w:rPr>
      <w:rFonts w:ascii="Times New Roman" w:eastAsiaTheme="minorHAnsi" w:hAnsi="Times New Roman" w:cstheme="minorBidi"/>
      <w:sz w:val="24"/>
      <w:szCs w:val="22"/>
    </w:rPr>
  </w:style>
  <w:style w:type="paragraph" w:styleId="BodyText">
    <w:name w:val="Body Text"/>
    <w:basedOn w:val="Normal"/>
    <w:link w:val="BodyTextChar"/>
    <w:semiHidden/>
    <w:unhideWhenUsed/>
    <w:rsid w:val="00525490"/>
    <w:pPr>
      <w:spacing w:after="120"/>
    </w:pPr>
  </w:style>
  <w:style w:type="character" w:customStyle="1" w:styleId="BodyTextChar">
    <w:name w:val="Body Text Char"/>
    <w:basedOn w:val="DefaultParagraphFont"/>
    <w:link w:val="BodyText"/>
    <w:semiHidden/>
    <w:rsid w:val="0052549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52894">
      <w:bodyDiv w:val="1"/>
      <w:marLeft w:val="0"/>
      <w:marRight w:val="0"/>
      <w:marTop w:val="0"/>
      <w:marBottom w:val="0"/>
      <w:divBdr>
        <w:top w:val="none" w:sz="0" w:space="0" w:color="auto"/>
        <w:left w:val="none" w:sz="0" w:space="0" w:color="auto"/>
        <w:bottom w:val="none" w:sz="0" w:space="0" w:color="auto"/>
        <w:right w:val="none" w:sz="0" w:space="0" w:color="auto"/>
      </w:divBdr>
      <w:divsChild>
        <w:div w:id="1299385060">
          <w:marLeft w:val="5"/>
          <w:marRight w:val="0"/>
          <w:marTop w:val="0"/>
          <w:marBottom w:val="0"/>
          <w:divBdr>
            <w:top w:val="none" w:sz="0" w:space="0" w:color="auto"/>
            <w:left w:val="none" w:sz="0" w:space="0" w:color="auto"/>
            <w:bottom w:val="none" w:sz="0" w:space="0" w:color="auto"/>
            <w:right w:val="none" w:sz="0" w:space="0" w:color="auto"/>
          </w:divBdr>
          <w:divsChild>
            <w:div w:id="1849128260">
              <w:marLeft w:val="0"/>
              <w:marRight w:val="0"/>
              <w:marTop w:val="0"/>
              <w:marBottom w:val="0"/>
              <w:divBdr>
                <w:top w:val="single" w:sz="6" w:space="6" w:color="223085"/>
                <w:left w:val="single" w:sz="6" w:space="6" w:color="223085"/>
                <w:bottom w:val="single" w:sz="6" w:space="6" w:color="223085"/>
                <w:right w:val="single" w:sz="6" w:space="6" w:color="223085"/>
              </w:divBdr>
              <w:divsChild>
                <w:div w:id="603343883">
                  <w:marLeft w:val="0"/>
                  <w:marRight w:val="0"/>
                  <w:marTop w:val="0"/>
                  <w:marBottom w:val="0"/>
                  <w:divBdr>
                    <w:top w:val="none" w:sz="0" w:space="0" w:color="auto"/>
                    <w:left w:val="none" w:sz="0" w:space="0" w:color="auto"/>
                    <w:bottom w:val="none" w:sz="0" w:space="0" w:color="auto"/>
                    <w:right w:val="none" w:sz="0" w:space="0" w:color="auto"/>
                  </w:divBdr>
                  <w:divsChild>
                    <w:div w:id="126121690">
                      <w:marLeft w:val="0"/>
                      <w:marRight w:val="0"/>
                      <w:marTop w:val="0"/>
                      <w:marBottom w:val="0"/>
                      <w:divBdr>
                        <w:top w:val="none" w:sz="0" w:space="0" w:color="auto"/>
                        <w:left w:val="none" w:sz="0" w:space="0" w:color="auto"/>
                        <w:bottom w:val="none" w:sz="0" w:space="0" w:color="auto"/>
                        <w:right w:val="none" w:sz="0" w:space="0" w:color="auto"/>
                      </w:divBdr>
                      <w:divsChild>
                        <w:div w:id="36666073">
                          <w:marLeft w:val="0"/>
                          <w:marRight w:val="0"/>
                          <w:marTop w:val="0"/>
                          <w:marBottom w:val="0"/>
                          <w:divBdr>
                            <w:top w:val="none" w:sz="0" w:space="0" w:color="auto"/>
                            <w:left w:val="none" w:sz="0" w:space="0" w:color="auto"/>
                            <w:bottom w:val="none" w:sz="0" w:space="0" w:color="auto"/>
                            <w:right w:val="none" w:sz="0" w:space="0" w:color="auto"/>
                          </w:divBdr>
                          <w:divsChild>
                            <w:div w:id="1210410495">
                              <w:marLeft w:val="0"/>
                              <w:marRight w:val="0"/>
                              <w:marTop w:val="0"/>
                              <w:marBottom w:val="0"/>
                              <w:divBdr>
                                <w:top w:val="none" w:sz="0" w:space="0" w:color="auto"/>
                                <w:left w:val="none" w:sz="0" w:space="0" w:color="auto"/>
                                <w:bottom w:val="none" w:sz="0" w:space="0" w:color="auto"/>
                                <w:right w:val="none" w:sz="0" w:space="0" w:color="auto"/>
                              </w:divBdr>
                              <w:divsChild>
                                <w:div w:id="1692491014">
                                  <w:marLeft w:val="0"/>
                                  <w:marRight w:val="0"/>
                                  <w:marTop w:val="0"/>
                                  <w:marBottom w:val="0"/>
                                  <w:divBdr>
                                    <w:top w:val="none" w:sz="0" w:space="0" w:color="auto"/>
                                    <w:left w:val="none" w:sz="0" w:space="0" w:color="auto"/>
                                    <w:bottom w:val="none" w:sz="0" w:space="0" w:color="auto"/>
                                    <w:right w:val="none" w:sz="0" w:space="0" w:color="auto"/>
                                  </w:divBdr>
                                  <w:divsChild>
                                    <w:div w:id="272253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1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about/offices/list/ocr/docs/how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2619</Words>
  <Characters>15414</Characters>
  <Application>Microsoft Office Word</Application>
  <DocSecurity>8</DocSecurity>
  <Lines>128</Lines>
  <Paragraphs>35</Paragraphs>
  <ScaleCrop>false</ScaleCrop>
  <HeadingPairs>
    <vt:vector size="2" baseType="variant">
      <vt:variant>
        <vt:lpstr>Title</vt:lpstr>
      </vt:variant>
      <vt:variant>
        <vt:i4>1</vt:i4>
      </vt:variant>
    </vt:vector>
  </HeadingPairs>
  <TitlesOfParts>
    <vt:vector size="1" baseType="lpstr">
      <vt:lpstr>BOCES affirms its commitment to non-discrimination and recognizes its responsibility to provide for all BOCES employees an env</vt:lpstr>
    </vt:vector>
  </TitlesOfParts>
  <Company>Eastern Suffolk BOCES</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affirms its commitment to non-discrimination and recognizes its responsibility to provide for all BOCES employees an env</dc:title>
  <dc:creator>Pamela  Arrasate</dc:creator>
  <cp:lastModifiedBy>setup</cp:lastModifiedBy>
  <cp:revision>2</cp:revision>
  <cp:lastPrinted>2020-02-21T17:56:00Z</cp:lastPrinted>
  <dcterms:created xsi:type="dcterms:W3CDTF">2020-07-17T17:07:00Z</dcterms:created>
  <dcterms:modified xsi:type="dcterms:W3CDTF">2020-07-17T17:07:00Z</dcterms:modified>
</cp:coreProperties>
</file>